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B1" w:rsidRPr="00F473F2" w:rsidRDefault="005205B1" w:rsidP="005205B1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374149"/>
          <w:kern w:val="36"/>
          <w:sz w:val="20"/>
          <w:szCs w:val="20"/>
          <w:lang w:eastAsia="ru-RU"/>
        </w:rPr>
      </w:pPr>
      <w:r w:rsidRPr="00F473F2">
        <w:rPr>
          <w:rFonts w:ascii="Arial" w:eastAsia="Times New Roman" w:hAnsi="Arial" w:cs="Arial"/>
          <w:b/>
          <w:bCs/>
          <w:color w:val="374149"/>
          <w:kern w:val="36"/>
          <w:sz w:val="20"/>
          <w:szCs w:val="20"/>
          <w:lang w:eastAsia="ru-RU"/>
        </w:rPr>
        <w:t xml:space="preserve">Проектная декларация многоквартирного жилого дома по ул. Пристанская, д.6, ул. Пароходская, д.5, ул. Пароходская, д.7 в </w:t>
      </w:r>
      <w:proofErr w:type="gramStart"/>
      <w:r w:rsidRPr="00F473F2">
        <w:rPr>
          <w:rFonts w:ascii="Arial" w:eastAsia="Times New Roman" w:hAnsi="Arial" w:cs="Arial"/>
          <w:b/>
          <w:bCs/>
          <w:color w:val="374149"/>
          <w:kern w:val="36"/>
          <w:sz w:val="20"/>
          <w:szCs w:val="20"/>
          <w:lang w:eastAsia="ru-RU"/>
        </w:rPr>
        <w:t>г</w:t>
      </w:r>
      <w:proofErr w:type="gramEnd"/>
      <w:r w:rsidRPr="00F473F2">
        <w:rPr>
          <w:rFonts w:ascii="Arial" w:eastAsia="Times New Roman" w:hAnsi="Arial" w:cs="Arial"/>
          <w:b/>
          <w:bCs/>
          <w:color w:val="374149"/>
          <w:kern w:val="36"/>
          <w:sz w:val="20"/>
          <w:szCs w:val="20"/>
          <w:lang w:eastAsia="ru-RU"/>
        </w:rPr>
        <w:t>. Тюмень</w:t>
      </w:r>
    </w:p>
    <w:p w:rsidR="005205B1" w:rsidRPr="005205B1" w:rsidRDefault="005205B1" w:rsidP="0052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b/>
          <w:bCs/>
          <w:color w:val="374149"/>
          <w:sz w:val="14"/>
          <w:lang w:eastAsia="ru-RU"/>
        </w:rPr>
        <w:t>по состоянию на 30.04.2014г.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b/>
          <w:bCs/>
          <w:color w:val="1F317F"/>
          <w:sz w:val="27"/>
          <w:lang w:eastAsia="ru-RU"/>
        </w:rPr>
        <w:t>1. Информация о застройщике</w:t>
      </w: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  <w:gridCol w:w="5516"/>
      </w:tblGrid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1.1. Фирменное наименование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Полное: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Общество с ограниченной ответственностью «Терра»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</w: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Сокращенное: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ООО «Терра»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1.2. Место нахождения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625003, г. Тюмень, ул. Розы Люксембург, д.12б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</w: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Почтовый адрес: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625003, г. Тюмень, ул. Розы Люксембург, д.12б</w:t>
            </w:r>
            <w:proofErr w:type="gramEnd"/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1.3. Режим работы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Понедельник — пятница: с 9.00 до 17.00 обед с 12.00 до 13.00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Суббота и воскресенье: выходные дни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1.4. Сведения о государственной регистрации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Дата создания: 28 января 2002 года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Свидетельство о государственной регистрации юридического лица от 16января 2003 года серия72 №003841812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Наименование органа, выдавшего указанный документ (регистрирующего органа): Межрайонная инспекция Федеральной налоговой службы № 14 по Тюменской области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ИНН/КПП 7203121003/720401001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1.5. Сведения об учредителях (участниках), обладающих пятью и более процентами голосов в органе управления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ДамировДжавидЯгубович 64%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Кулешов Евгений Викторович 26%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Глухова Светлана Владимировна 10%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1.6. Сведения о проектах строительства объектов недвижимости, в которых принимал участие застройщик в течение предшествующих трех лет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Настоящий проект является первым проектом строительства объекта недвижимости, реализуемым застройщиком за указанный период времени.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1.7. Вид лицензируемой деятельности, номер лицензии, срок ее действия, орган выдавший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Деятельность застройщика по привлечению денежных средств участников долевого строительства для строительства многоквартирного дома не подлежит лицензированию в соответствии с федеральным законодательством РФ.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 xml:space="preserve">1.8. Документ, подтверждающий  соответствие  требованиям,  предъявляемым законодательством </w:t>
            </w:r>
            <w:proofErr w:type="gramStart"/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РФ</w:t>
            </w:r>
            <w:proofErr w:type="gramEnd"/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 xml:space="preserve"> к лицам осуществляющим  выполнение работ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Свидетельство о допуске к определенному виду работ или видам работам, которые оказывают влияние на безопасность объектов капитального строительства  № 1956.02-2010-7203121003-С-049 от 17мая 2012г., Некоммерческое  партнерство «Саморегулируемая организация «Первая гильдия строителей» взамен ранее выданного №1956.01-2010-7203121003-С-049 от 15.07.2010г.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Без ограничения срока действия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Территория действия – территория 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Федерации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 xml:space="preserve">1.9. Сведения о финансовом результате текущего года, размерах </w:t>
            </w: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кредиторской и дебиторской задолженности на день составления проектной декларации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lastRenderedPageBreak/>
              <w:t xml:space="preserve">Финансовый результат (прибыль/убыток): -139 тыс. 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lastRenderedPageBreak/>
              <w:t>руб. рублей</w:t>
            </w:r>
          </w:p>
          <w:p w:rsidR="005205B1" w:rsidRPr="005205B1" w:rsidRDefault="005205B1" w:rsidP="0052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Размер кредиторской задолженности: 15 877 тыс. руб.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Размер дебиторской задолженности: 6 598 тыс. руб.</w:t>
            </w:r>
          </w:p>
        </w:tc>
      </w:tr>
    </w:tbl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b/>
          <w:bCs/>
          <w:color w:val="1F317F"/>
          <w:sz w:val="27"/>
          <w:lang w:eastAsia="ru-RU"/>
        </w:rPr>
        <w:lastRenderedPageBreak/>
        <w:t>2. Информация о проекте строительства</w:t>
      </w: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7"/>
        <w:gridCol w:w="6518"/>
      </w:tblGrid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2.1. Цель проекта строительства, его этапы и сроки реализации, результаты государственной экспертизы проектной документации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Строительство и ввод в эксплуатацию девятиэтажного двухсекционногопятидесятишестиквартирного жилого дома с одноуровневой подземной автостоянкой и офисными помещениями на первом этаже по адресу: ул. 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Пристанская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, д.6, ул. Пароходская, д.5, ул. Пароходская, д.7 в г. Тюмени.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Срок реализации (сдачи) — II квартал 2017 г.</w:t>
            </w:r>
          </w:p>
          <w:p w:rsidR="005205B1" w:rsidRPr="005205B1" w:rsidRDefault="005205B1" w:rsidP="005205B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Начало  работ на объекте  в 2014 году, (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строительно- монтажные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 работы, монтаж  лифтов, отделочные  работы, внутренние спецработы, инженерные работы, устройство  крыши, благоустройство) и  окончание работ в 2017 году</w:t>
            </w:r>
            <w:r w:rsidRPr="005205B1"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  <w:t>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Положительное заключение 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негосударственная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 экспертизы проектной документации ООО «Уральское управление строительной экспертизы» № 2-1-1-0004-14 от 27 января 2014г. , № 66-1-2-0032-14 от 25 марта 2014г.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2.2. Разрешение на строительство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Разрешение на строительство № RU 72304000-147-рс, выдано Администрацией города Тюмени 03 апреля 2014 г.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2.3. Информация о правах застройщика на земельный участок, реквизитах правоустанавливающего документа, собственнике земельного участка, кадастровом номере и площади земельного участка, элементах благоустройства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Для строительства многоквартирного дома застройщиком используется земельный участок с кадастровым номером 72:23:0217002:6052, площадью 3042 кв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.м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, из земель населенных пунктов, местоположение: г. Тюмень,  ул. Пристанская, д.6, ул. Пароходская, д.5, ул. Пароходская, д.7, на основании Договора аренды земельного участка № 23-10/1147 от 01.11.2012 г., заключенного с Департаментом имущественных отношений Тюменской области.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Собственность — не разграниченная государственная.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Предусматривается устройство проездов и пешеходных проходов с асфальтобетонным покрытием, благоустройство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2.4. Информация о местоположении строящегося многоквартирного дома, его описании в соответствии с проектной документацией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Размещение многоквартирного жилого дома по ул. 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Пристанская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, д.6, ул. Пароходская, д.5, ул. Пароходская, д.7 вг. 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Тюмень,   на земельном участке с кадастровым номером 72:23:0217002:6052,  предусмотрено в соответствии с градостроительным планом земельного участка (ГПЗУ) № 72304000-171, утвержденным Приказом директора департамента земельных отношений и градостроительства Администрации г. Тюмени от 25.02.2014г.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br/>
              <w:t>Многоэтажный жилой дом представляет собой здание с подземной автостоянкой, безчердачное, девять наземных этажей, два подъезда, надстройка для машинного помещения лифта и выход на кровлю с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 основных лестничных клеток. На первом этаже размещены офисные помещения. Входы в жилую часть со стороны двора и въезд в паркинг – со стороны ул. Пристанская, входы в офисные помещения – со стороны ул. Пароходская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.В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ысота жилых помещений 3 м, офисных помещений 3,9 м.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Вход в жилую часть предусмотрен через общий вестибюль.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Для связи жилых помещений и подземного паркинга предусмотрены лифты в подземный паркинг и эвакуационные лестницы.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 xml:space="preserve">Общее количество машино/мест 79, в том числе в подземном 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lastRenderedPageBreak/>
              <w:t>паркинге 47.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Наружные стены: газобетонные блоки — утеплитель — облицовочный кирпич. Межквартирные стены и внутриквартирные перегородки: газобетонные блоки, кирпичная кладка. Перекрытия: сборные железобетонные плиты перекрытия.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i/>
                <w:iCs/>
                <w:color w:val="374149"/>
                <w:sz w:val="18"/>
                <w:lang w:eastAsia="ru-RU"/>
              </w:rPr>
              <w:t>Обеспеченность инженерными системами.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Жилой дом обеспечен централизованными системами: теплоснабжения, холодного водоснабжения, водоотведения, электроснабжения.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2.5. Количество самостоятельных частей в составе строящегося многоквартирного дома и описание технических характеристик по проектной документации указанных самостоятельных частей, передаваемых участникам долевого строительства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Жилой дом имеет следующие технические характеристики.</w:t>
            </w:r>
          </w:p>
          <w:p w:rsidR="005205B1" w:rsidRPr="005205B1" w:rsidRDefault="005205B1" w:rsidP="00520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1.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proofErr w:type="gramStart"/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Количество квартир всего — 56 шт., в том числе однокомнатных —16 шт., двухкомнатных — 16 шт., трехкомнатных – 16 шт., четырехкомнатных – 8 шт.</w:t>
            </w:r>
            <w:proofErr w:type="gramEnd"/>
          </w:p>
          <w:p w:rsidR="005205B1" w:rsidRPr="005205B1" w:rsidRDefault="005205B1" w:rsidP="00520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2.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Общая площадь самостоятельных частей (квартир), передаваемых участникам долевого строительства застройщиком после получения разрешения на ввод в эксплуатацию многоквартирного дома, — 5 411,5 кв.м.</w:t>
            </w:r>
          </w:p>
          <w:p w:rsidR="005205B1" w:rsidRPr="005205B1" w:rsidRDefault="005205B1" w:rsidP="00520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3.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Квартиры передаются участникам долевого строительства с улучшенной черновой отделкой, что включает в себя: установка входной двери; установка пластиковых оконных блоков; пластиковое остекление балконов и лоджий.</w:t>
            </w:r>
          </w:p>
          <w:p w:rsidR="005205B1" w:rsidRPr="005205B1" w:rsidRDefault="005205B1" w:rsidP="00520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Сведения об инженерном оборудовании: предусматривается устройство системы электроснабжения; системы рабочего, аварийного и ремонтного освещения, наружного освещения; системы водоснабжения и водоотведения; системы отопления и вентиляции; устройство слаботочных сетей (телефон, телевидение, интернет, домофон); устройство внутренних сетей автономной пожарной сигнализации.</w:t>
            </w:r>
          </w:p>
          <w:p w:rsidR="005205B1" w:rsidRPr="005205B1" w:rsidRDefault="005205B1" w:rsidP="00520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4.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Экспликация помещений:</w:t>
            </w:r>
          </w:p>
          <w:tbl>
            <w:tblPr>
              <w:tblW w:w="6067" w:type="dxa"/>
              <w:tblCellSpacing w:w="15" w:type="dxa"/>
              <w:shd w:val="clear" w:color="auto" w:fill="D8D8DE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1394"/>
              <w:gridCol w:w="1351"/>
              <w:gridCol w:w="1520"/>
            </w:tblGrid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Номенклатура квартир</w:t>
                  </w:r>
                </w:p>
              </w:tc>
              <w:tc>
                <w:tcPr>
                  <w:tcW w:w="1387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квартиры</w:t>
                  </w:r>
                </w:p>
              </w:tc>
              <w:tc>
                <w:tcPr>
                  <w:tcW w:w="1246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1514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145,2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47,4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2-х 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69,9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559,2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2-х 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1680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120,4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240,8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4-комнатная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174,6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1396,8</w:t>
                  </w:r>
                </w:p>
              </w:tc>
            </w:tr>
          </w:tbl>
          <w:p w:rsidR="005205B1" w:rsidRPr="005205B1" w:rsidRDefault="005205B1" w:rsidP="005205B1">
            <w:pPr>
              <w:spacing w:after="0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 xml:space="preserve">2.6. Информация о функциональном назначении нежилых помещений в многоквартирном доме, не входящих в состав общего </w:t>
            </w: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lastRenderedPageBreak/>
              <w:t>Нежилые помещения, не входящие в состав общего имущества многоквартирного дома:</w:t>
            </w:r>
          </w:p>
          <w:tbl>
            <w:tblPr>
              <w:tblW w:w="6067" w:type="dxa"/>
              <w:tblCellSpacing w:w="15" w:type="dxa"/>
              <w:shd w:val="clear" w:color="auto" w:fill="D8D8DE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1392"/>
              <w:gridCol w:w="1351"/>
              <w:gridCol w:w="1522"/>
            </w:tblGrid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Номенклатура помещений</w:t>
                  </w:r>
                </w:p>
              </w:tc>
              <w:tc>
                <w:tcPr>
                  <w:tcW w:w="1387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1246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14" w:type="dxa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Офисное помещение 1 этажа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84,6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Офисное помещение 1 этажа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87,9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87,9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Офисное помещение 1 этажа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117,8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117,8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Коридоры, комнаты приема пищи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78,5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</w:t>
                  </w:r>
                  <w:proofErr w:type="gramStart"/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злы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Кладовые уб. инвентаря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14,2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хранения ртутных ламп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тамбуры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24,8</w:t>
                  </w:r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1770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Венткамеры</w:t>
                  </w:r>
                </w:p>
              </w:tc>
              <w:tc>
                <w:tcPr>
                  <w:tcW w:w="1387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28,8</w:t>
                  </w:r>
                  <w:bookmarkStart w:id="0" w:name="_GoBack"/>
                  <w:bookmarkEnd w:id="0"/>
                </w:p>
              </w:tc>
              <w:tc>
                <w:tcPr>
                  <w:tcW w:w="1246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05B1" w:rsidRPr="005205B1" w:rsidRDefault="005205B1" w:rsidP="005205B1">
            <w:pPr>
              <w:spacing w:after="0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2.7. 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После получения разрешения на ввод в эксплуатацию многоквартирного дома в общей долевой собственности участников долевого строительства будет находиться общее имущество в следующем составе:</w:t>
            </w:r>
          </w:p>
          <w:p w:rsidR="005205B1" w:rsidRPr="005205B1" w:rsidRDefault="005205B1" w:rsidP="00520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1.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Земельный участок с кадастровым номером 72:23:0217002:6052, площадью 3042 кв.м.</w:t>
            </w:r>
          </w:p>
          <w:p w:rsidR="005205B1" w:rsidRPr="005205B1" w:rsidRDefault="005205B1" w:rsidP="00520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2.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Инженерные коммуникации, иное обслуживающее более одной квартиры оборудование; механическое, электрическое, санитарно-техническое и иное оборудование (включая инженерные коммуникации), находящееся в многоквартирном доме за пределами квартир и обслуживающее более одной квартиры.</w:t>
            </w:r>
          </w:p>
          <w:p w:rsidR="005205B1" w:rsidRPr="005205B1" w:rsidRDefault="005205B1" w:rsidP="00520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3.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Элементы благоустройства.</w:t>
            </w:r>
          </w:p>
          <w:p w:rsidR="005205B1" w:rsidRPr="005205B1" w:rsidRDefault="005205B1" w:rsidP="00520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  <w:r w:rsidRPr="005205B1">
              <w:rPr>
                <w:rFonts w:ascii="Verdana" w:eastAsia="Times New Roman" w:hAnsi="Verdana" w:cs="Arial"/>
                <w:b/>
                <w:bCs/>
                <w:color w:val="374149"/>
                <w:sz w:val="18"/>
                <w:lang w:eastAsia="ru-RU"/>
              </w:rPr>
              <w:t>4.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lang w:eastAsia="ru-RU"/>
              </w:rPr>
              <w:t> </w:t>
            </w:r>
            <w:r w:rsidRPr="005205B1">
              <w:rPr>
                <w:rFonts w:ascii="Verdana" w:eastAsia="Times New Roman" w:hAnsi="Verdana" w:cs="Arial"/>
                <w:color w:val="374149"/>
                <w:sz w:val="18"/>
                <w:szCs w:val="18"/>
                <w:lang w:eastAsia="ru-RU"/>
              </w:rPr>
              <w:t>Помещения, экспликация, которых приведена ниже:</w:t>
            </w:r>
          </w:p>
          <w:tbl>
            <w:tblPr>
              <w:tblW w:w="5000" w:type="pct"/>
              <w:tblCellSpacing w:w="15" w:type="dxa"/>
              <w:shd w:val="clear" w:color="auto" w:fill="D8D8DE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  <w:gridCol w:w="2974"/>
              <w:gridCol w:w="1788"/>
            </w:tblGrid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Этаж</w:t>
                  </w:r>
                </w:p>
              </w:tc>
              <w:tc>
                <w:tcPr>
                  <w:tcW w:w="0" w:type="auto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помещения по функциональному назначению</w:t>
                  </w:r>
                </w:p>
              </w:tc>
              <w:tc>
                <w:tcPr>
                  <w:tcW w:w="0" w:type="auto"/>
                  <w:shd w:val="clear" w:color="auto" w:fill="E8E8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 помещения, кв</w:t>
                  </w:r>
                  <w:proofErr w:type="gramStart"/>
                  <w:r w:rsidRPr="0052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Подземная часть здания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Стоянка автомобилей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Узел ввода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Венткамера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Венткамера № 2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Помешение охраны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шлюз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шлюз № 2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шлюз № 3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шлюз № 4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</w:t>
                  </w:r>
                  <w:proofErr w:type="gramStart"/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Электрощитовая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Помещение хранения уборочной техники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Рампа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113,9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Лифт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Лифт № 2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№ 2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Тамбур № 3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Электрощитовая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Кладовая уб. инвентаря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Помещение консьержа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Помещение охраны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</w:t>
                  </w:r>
                  <w:proofErr w:type="gramStart"/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ИТП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Насосная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Венткамера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Лестничная клетка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Лестничная клетка № 2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Лифт № 1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Лифт № 2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2-9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Внеквартирные коридоры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5205B1" w:rsidRPr="005205B1">
              <w:trPr>
                <w:tblCellSpacing w:w="15" w:type="dxa"/>
              </w:trPr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Эксплуатируемая часть</w:t>
                  </w:r>
                </w:p>
              </w:tc>
              <w:tc>
                <w:tcPr>
                  <w:tcW w:w="0" w:type="auto"/>
                  <w:shd w:val="clear" w:color="auto" w:fill="FAFAF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205B1" w:rsidRPr="005205B1" w:rsidRDefault="005205B1" w:rsidP="005205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</w:tbl>
          <w:p w:rsidR="005205B1" w:rsidRPr="005205B1" w:rsidRDefault="005205B1" w:rsidP="005205B1">
            <w:pPr>
              <w:spacing w:after="0" w:line="240" w:lineRule="auto"/>
              <w:rPr>
                <w:rFonts w:ascii="Arial" w:eastAsia="Times New Roman" w:hAnsi="Arial" w:cs="Arial"/>
                <w:color w:val="374149"/>
                <w:sz w:val="14"/>
                <w:szCs w:val="14"/>
                <w:lang w:eastAsia="ru-RU"/>
              </w:rPr>
            </w:pP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2.8. Предполагаемый срок получения разрешения на ввод в эксплуатацию многоквартирного дома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II квартал 2017 г.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 xml:space="preserve">2.9. Орган, уполномоченный на выдачу разрешения на ввод в эксплуатацию </w:t>
            </w: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lastRenderedPageBreak/>
              <w:t>Администрация города Тюмени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lastRenderedPageBreak/>
              <w:t>2.10.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-возможные финансовые риски (изменение стоимости строящегося объекта, в  связи  с  изменением  цены на рынке строительных материалов) не застрахованы</w:t>
            </w:r>
          </w:p>
          <w:p w:rsidR="005205B1" w:rsidRPr="005205B1" w:rsidRDefault="005205B1" w:rsidP="005205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Страхование произведено</w:t>
            </w:r>
            <w:r w:rsidRPr="005205B1">
              <w:rPr>
                <w:rFonts w:ascii="Verdana" w:eastAsia="Times New Roman" w:hAnsi="Verdana" w:cs="Times New Roman"/>
                <w:color w:val="374149"/>
                <w:sz w:val="18"/>
                <w:lang w:eastAsia="ru-RU"/>
              </w:rPr>
              <w:t> </w:t>
            </w:r>
            <w:bookmarkStart w:id="1" w:name="_Toc224551461"/>
            <w:bookmarkStart w:id="2" w:name="_Toc223508066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по договору № 85-010193-01/13 от 14.06.2013г.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заключенного с ОАО «Государственная страховая компания «Югория»»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2.11. Планируемая стоимость строительства многоквартирного дома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347 000 000 рублей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2.12. Перечень организаций, осуществляющих основные строительно-монтажные и другие работы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ООО «Партнер Групп», свидетельство о допуске к работам, которые оказывают влияние на безопасность объектов капитального строительства, № 0260.01-2012-7203275300-С-239 от 11.04.2012 г.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2.13. Способ обеспечения исполнения обязательств застройщика по договорам долевого участия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Залог в соответствии со статьей 13 Федерального закона № 214-ФЗ РФ от 29.12.2004 г. (залог права аренды земельного участка с кадастровым номером 72:23:0217002:6052 и строящегося на этом земельном участке многоквартирного дома).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Times New Roman" w:eastAsia="Times New Roman" w:hAnsi="Times New Roman" w:cs="Times New Roman"/>
                <w:b/>
                <w:bCs/>
                <w:color w:val="374149"/>
                <w:sz w:val="24"/>
                <w:szCs w:val="24"/>
                <w:lang w:eastAsia="ru-RU"/>
              </w:rPr>
              <w:t>2.14. Сведения о договорах и сделках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Ведение строительства планируется за счет собственных сре</w:t>
            </w:r>
            <w:proofErr w:type="gramStart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дств пр</w:t>
            </w:r>
            <w:proofErr w:type="gramEnd"/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едприятия, привлеченных средств граждан и  юридических  лиц, согласно договоров участия в долевом  строительстве.</w:t>
            </w:r>
          </w:p>
        </w:tc>
      </w:tr>
      <w:tr w:rsidR="005205B1" w:rsidRPr="005205B1" w:rsidTr="005205B1">
        <w:trPr>
          <w:tblCellSpacing w:w="30" w:type="dxa"/>
        </w:trPr>
        <w:tc>
          <w:tcPr>
            <w:tcW w:w="0" w:type="auto"/>
            <w:shd w:val="clear" w:color="auto" w:fill="E8E8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b/>
                <w:bCs/>
                <w:color w:val="374149"/>
                <w:sz w:val="18"/>
                <w:lang w:eastAsia="ru-RU"/>
              </w:rPr>
              <w:t>2.15. 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0" w:type="auto"/>
            <w:shd w:val="clear" w:color="auto" w:fill="F6F6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5B1" w:rsidRPr="005205B1" w:rsidRDefault="005205B1" w:rsidP="00520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74149"/>
                <w:sz w:val="24"/>
                <w:szCs w:val="24"/>
                <w:lang w:eastAsia="ru-RU"/>
              </w:rPr>
            </w:pPr>
            <w:r w:rsidRPr="005205B1">
              <w:rPr>
                <w:rFonts w:ascii="Verdana" w:eastAsia="Times New Roman" w:hAnsi="Verdana" w:cs="Times New Roman"/>
                <w:color w:val="374149"/>
                <w:sz w:val="18"/>
                <w:szCs w:val="18"/>
                <w:lang w:eastAsia="ru-RU"/>
              </w:rPr>
              <w:t>Заключение договоров, отличных от договоров участия в долевом строительстве, не предусматривается.</w:t>
            </w:r>
          </w:p>
        </w:tc>
      </w:tr>
    </w:tbl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b/>
          <w:bCs/>
          <w:color w:val="374149"/>
          <w:sz w:val="14"/>
          <w:lang w:eastAsia="ru-RU"/>
        </w:rPr>
        <w:t>Оригинал проектной декларации находится  по  адресу:</w:t>
      </w:r>
      <w:r w:rsidRPr="005205B1">
        <w:rPr>
          <w:rFonts w:ascii="Arial" w:eastAsia="Times New Roman" w:hAnsi="Arial" w:cs="Arial"/>
          <w:color w:val="374149"/>
          <w:sz w:val="14"/>
          <w:lang w:eastAsia="ru-RU"/>
        </w:rPr>
        <w:t> </w:t>
      </w:r>
      <w:proofErr w:type="gramStart"/>
      <w:r w:rsidRPr="005205B1">
        <w:rPr>
          <w:rFonts w:ascii="Arial" w:eastAsia="Times New Roman" w:hAnsi="Arial" w:cs="Arial"/>
          <w:color w:val="374149"/>
          <w:sz w:val="14"/>
          <w:szCs w:val="14"/>
          <w:lang w:eastAsia="ru-RU"/>
        </w:rPr>
        <w:t>г</w:t>
      </w:r>
      <w:proofErr w:type="gramEnd"/>
      <w:r w:rsidRPr="005205B1">
        <w:rPr>
          <w:rFonts w:ascii="Arial" w:eastAsia="Times New Roman" w:hAnsi="Arial" w:cs="Arial"/>
          <w:color w:val="374149"/>
          <w:sz w:val="14"/>
          <w:szCs w:val="14"/>
          <w:lang w:eastAsia="ru-RU"/>
        </w:rPr>
        <w:t>. Тюмень, ул. Розы Люксембург, 12б.</w:t>
      </w:r>
    </w:p>
    <w:p w:rsidR="005205B1" w:rsidRPr="005205B1" w:rsidRDefault="005205B1" w:rsidP="005205B1">
      <w:pPr>
        <w:shd w:val="clear" w:color="auto" w:fill="FFFFFF"/>
        <w:spacing w:before="100" w:beforeAutospacing="1" w:after="90" w:line="240" w:lineRule="auto"/>
        <w:jc w:val="right"/>
        <w:rPr>
          <w:rFonts w:ascii="Times New Roman" w:eastAsia="Times New Roman" w:hAnsi="Times New Roman" w:cs="Times New Roman"/>
          <w:color w:val="374149"/>
          <w:sz w:val="24"/>
          <w:szCs w:val="24"/>
          <w:lang w:eastAsia="ru-RU"/>
        </w:rPr>
      </w:pPr>
      <w:r w:rsidRPr="005205B1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ДИРЕКТОР ООО «</w:t>
      </w:r>
      <w:proofErr w:type="gramStart"/>
      <w:r w:rsidRPr="005205B1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ТЕРРА»</w:t>
      </w:r>
      <w:r w:rsidRPr="005205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</w:r>
      <w:r w:rsidRPr="005205B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С.</w:t>
      </w:r>
      <w:proofErr w:type="gramEnd"/>
      <w:r w:rsidRPr="005205B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В. Глухова</w:t>
      </w:r>
    </w:p>
    <w:p w:rsidR="005205B1" w:rsidRPr="005205B1" w:rsidRDefault="005205B1" w:rsidP="005205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color w:val="374149"/>
          <w:sz w:val="14"/>
          <w:szCs w:val="14"/>
          <w:lang w:eastAsia="ru-RU"/>
        </w:rPr>
        <w:t> 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ИЗМЕНЕНИЯ №1</w:t>
      </w:r>
      <w:proofErr w:type="gramStart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В</w:t>
      </w:r>
      <w:proofErr w:type="gramEnd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ПРОЕКТНУЮ ДЕКЛАРАЦИЮ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Общества с ограниченной ответственностью «Терра» по объекту: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«Многоэтажный жилой дом в границах земельного участка ул. Пристанская д.6, ул. Пароходская д.5, Пароходская д.7 в </w:t>
      </w:r>
      <w:proofErr w:type="gramStart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</w:t>
      </w:r>
      <w:proofErr w:type="gramEnd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 Тюмень»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Проектная декларация опубликована на сайте </w:t>
      </w:r>
      <w:hyperlink r:id="rId5" w:history="1">
        <w:r w:rsidRPr="005205B1">
          <w:rPr>
            <w:rFonts w:ascii="Arial" w:eastAsia="Times New Roman" w:hAnsi="Arial" w:cs="Arial"/>
            <w:i/>
            <w:iCs/>
            <w:color w:val="000000"/>
            <w:sz w:val="14"/>
            <w:lang w:eastAsia="ru-RU"/>
          </w:rPr>
          <w:t>www.terra72.ru</w:t>
        </w:r>
      </w:hyperlink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30.04.2014г.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п.5 ст.19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«Терра» вносит следующие изменения  в проектную декларацию: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РАЗДЕЛ: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ИНФОРМАЦИЯ О ПРОЕКТЕ</w:t>
      </w:r>
    </w:p>
    <w:p w:rsidR="005205B1" w:rsidRPr="005205B1" w:rsidRDefault="005205B1" w:rsidP="005205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1.</w:t>
      </w:r>
      <w:r w:rsidRPr="005205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Пункт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2.10. Возможные финансовые и прочие риски при осуществлении проекта строительства и меры по добровольному страхованию застройщиком таких рисков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изложить в следующей редакции: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«возможные финансовые риски (изменение стоимости строящегося объекта, в  связи  с  изменением  цены на рынке строительных материалов) не застрахованы</w:t>
      </w:r>
    </w:p>
    <w:p w:rsidR="005205B1" w:rsidRPr="005205B1" w:rsidRDefault="005205B1" w:rsidP="005205B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Страхование произведено</w:t>
      </w:r>
      <w:r w:rsidRPr="005205B1">
        <w:rPr>
          <w:rFonts w:ascii="Verdana" w:eastAsia="Times New Roman" w:hAnsi="Verdana" w:cs="Arial"/>
          <w:color w:val="000000"/>
          <w:sz w:val="18"/>
          <w:lang w:eastAsia="ru-RU"/>
        </w:rPr>
        <w:t> </w:t>
      </w:r>
      <w:bookmarkEnd w:id="1"/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 договору № 11-14010-000064 от 27.06.2014г.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bookmarkEnd w:id="2"/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заключенного с О0О «Страховая Инвестиционная Компания»»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02 июля 2014 года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Директор</w:t>
      </w:r>
      <w:r w:rsidRPr="00520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</w: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ООО «Терра» С.В. Глухова</w:t>
      </w:r>
    </w:p>
    <w:p w:rsidR="005205B1" w:rsidRPr="005205B1" w:rsidRDefault="005205B1" w:rsidP="005205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color w:val="374149"/>
          <w:sz w:val="14"/>
          <w:szCs w:val="14"/>
          <w:lang w:eastAsia="ru-RU"/>
        </w:rPr>
        <w:t> 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ИЗМЕНЕНИЯ №2</w:t>
      </w:r>
      <w:proofErr w:type="gramStart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В</w:t>
      </w:r>
      <w:proofErr w:type="gramEnd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ПРОЕКТНУЮ ДЕКЛАРАЦИЮ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Общества с ограниченной ответственностью «Терра» по объекту: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«Многоэтажный жилой дом в границах земельного участка ул. Пристанская д.6, ул. Пароходская д.5, Пароходская д.7 в </w:t>
      </w:r>
      <w:proofErr w:type="gramStart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</w:t>
      </w:r>
      <w:proofErr w:type="gramEnd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 Тюмень»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</w: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Проектная декларация опубликована на сайте </w:t>
      </w:r>
      <w:hyperlink r:id="rId6" w:history="1">
        <w:r w:rsidRPr="005205B1">
          <w:rPr>
            <w:rFonts w:ascii="Arial" w:eastAsia="Times New Roman" w:hAnsi="Arial" w:cs="Arial"/>
            <w:i/>
            <w:iCs/>
            <w:color w:val="000000"/>
            <w:sz w:val="14"/>
            <w:lang w:eastAsia="ru-RU"/>
          </w:rPr>
          <w:t>www.terra72.ru</w:t>
        </w:r>
      </w:hyperlink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30.04.2014г.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п.5 ст.19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«Терра» вносит следующие изменения  в проектную декларацию: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РАЗДЕЛ: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ИНФОРМАЦИЯ О ЗАСТРОЙЩИКЕ</w:t>
      </w:r>
    </w:p>
    <w:p w:rsidR="005205B1" w:rsidRPr="005205B1" w:rsidRDefault="005205B1" w:rsidP="005205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</w:t>
      </w:r>
      <w:r w:rsidRPr="005205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Пункт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1.9. Сведения о финансовом результате текущего года, размерах кредиторской и дебиторской задолженности </w:t>
      </w: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изложить в следующей редакции:</w:t>
      </w:r>
    </w:p>
    <w:p w:rsidR="005205B1" w:rsidRPr="005205B1" w:rsidRDefault="005205B1" w:rsidP="005205B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proofErr w:type="gramStart"/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«Финансовый результат (прибыль/убыток): - 341 тыс. руб.</w:t>
      </w:r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Размер кредиторской задолженности: 15 927 тыс. руб.</w:t>
      </w:r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Размер дебиторской задолженности: 13 974 тыс. руб.»</w:t>
      </w:r>
      <w:proofErr w:type="gramEnd"/>
    </w:p>
    <w:p w:rsidR="005205B1" w:rsidRPr="005205B1" w:rsidRDefault="005205B1" w:rsidP="005205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31 июля 2014 года</w:t>
      </w:r>
    </w:p>
    <w:p w:rsidR="005205B1" w:rsidRPr="005205B1" w:rsidRDefault="005205B1" w:rsidP="005205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Директор</w:t>
      </w:r>
      <w:r w:rsidRPr="00520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</w: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ООО «Терра» С.В. Глухова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ИЗМЕНЕНИЯ №3</w:t>
      </w:r>
      <w:proofErr w:type="gramStart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В</w:t>
      </w:r>
      <w:proofErr w:type="gramEnd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ПРОЕКТНУЮ ДЕКЛАРАЦИЮ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Общества с ограниченной ответственностью «Терра» по объекту:</w:t>
      </w:r>
    </w:p>
    <w:p w:rsidR="005205B1" w:rsidRPr="005205B1" w:rsidRDefault="005205B1" w:rsidP="005205B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«Многоэтажный жилой дом в границах земельного участка ул. Пристанская д.6, ул. Пароходская д.5, Пароходская д.7 в </w:t>
      </w:r>
      <w:proofErr w:type="gramStart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</w:t>
      </w:r>
      <w:proofErr w:type="gramEnd"/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 Тюмень»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</w: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Проектная декларация опубликована на сайте </w:t>
      </w:r>
      <w:hyperlink r:id="rId7" w:history="1">
        <w:r w:rsidRPr="005205B1">
          <w:rPr>
            <w:rFonts w:ascii="Arial" w:eastAsia="Times New Roman" w:hAnsi="Arial" w:cs="Arial"/>
            <w:i/>
            <w:iCs/>
            <w:color w:val="000000"/>
            <w:sz w:val="14"/>
            <w:lang w:eastAsia="ru-RU"/>
          </w:rPr>
          <w:t>www.terra72.ru</w:t>
        </w:r>
      </w:hyperlink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30.04.2014г.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п.5 ст.19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«Терра» вносит следующие изменения  в проектную декларацию: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РАЗДЕЛ: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ИНФОРМАЦИЯ О ЗАСТРОЙЩИКЕ</w:t>
      </w:r>
    </w:p>
    <w:p w:rsidR="005205B1" w:rsidRPr="005205B1" w:rsidRDefault="005205B1" w:rsidP="005205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</w:t>
      </w:r>
      <w:r w:rsidRPr="005205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Пункт</w:t>
      </w:r>
      <w:r w:rsidRPr="005205B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205B1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1.9. Сведения о финансовом результате текущего года, размерах кредиторской и дебиторской задолженности </w:t>
      </w:r>
      <w:r w:rsidRPr="005205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изложить в следующей редакции:</w:t>
      </w:r>
    </w:p>
    <w:p w:rsidR="005205B1" w:rsidRPr="005205B1" w:rsidRDefault="005205B1" w:rsidP="005205B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proofErr w:type="gramStart"/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«Финансовый результат (прибыль/убыток): 467 тыс. руб.</w:t>
      </w:r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Размер кредиторской задолженности: 17 419 тыс. руб.</w:t>
      </w:r>
      <w:r w:rsidRPr="005205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Размер дебиторской задолженности: 15 753 тыс. руб.»</w:t>
      </w:r>
      <w:proofErr w:type="gramEnd"/>
    </w:p>
    <w:p w:rsidR="005205B1" w:rsidRPr="005205B1" w:rsidRDefault="005205B1" w:rsidP="005205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30 октября 2014 года</w:t>
      </w:r>
    </w:p>
    <w:p w:rsidR="005205B1" w:rsidRPr="005205B1" w:rsidRDefault="005205B1" w:rsidP="005205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Директор</w:t>
      </w:r>
      <w:r w:rsidRPr="005205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</w:r>
      <w:r w:rsidRPr="005205B1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ООО «Терра» С.В. Глухова</w:t>
      </w:r>
    </w:p>
    <w:p w:rsidR="005205B1" w:rsidRPr="005205B1" w:rsidRDefault="005205B1" w:rsidP="00520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color w:val="374149"/>
          <w:sz w:val="14"/>
          <w:szCs w:val="14"/>
          <w:lang w:eastAsia="ru-RU"/>
        </w:rPr>
        <w:t> </w:t>
      </w:r>
    </w:p>
    <w:p w:rsidR="005205B1" w:rsidRPr="005205B1" w:rsidRDefault="005205B1" w:rsidP="005205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149"/>
          <w:sz w:val="14"/>
          <w:szCs w:val="14"/>
          <w:lang w:eastAsia="ru-RU"/>
        </w:rPr>
      </w:pPr>
      <w:r w:rsidRPr="005205B1">
        <w:rPr>
          <w:rFonts w:ascii="Arial" w:eastAsia="Times New Roman" w:hAnsi="Arial" w:cs="Arial"/>
          <w:color w:val="374149"/>
          <w:sz w:val="14"/>
          <w:szCs w:val="14"/>
          <w:lang w:eastAsia="ru-RU"/>
        </w:rPr>
        <w:lastRenderedPageBreak/>
        <w:t> 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ADB"/>
    <w:multiLevelType w:val="multilevel"/>
    <w:tmpl w:val="00F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F15065"/>
    <w:multiLevelType w:val="multilevel"/>
    <w:tmpl w:val="9AC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205B1"/>
    <w:rsid w:val="001064D7"/>
    <w:rsid w:val="001745FB"/>
    <w:rsid w:val="003530E9"/>
    <w:rsid w:val="00363DBB"/>
    <w:rsid w:val="00423446"/>
    <w:rsid w:val="00515512"/>
    <w:rsid w:val="005205B1"/>
    <w:rsid w:val="007443C2"/>
    <w:rsid w:val="00787683"/>
    <w:rsid w:val="008863C9"/>
    <w:rsid w:val="00962B97"/>
    <w:rsid w:val="00B17A4E"/>
    <w:rsid w:val="00B55170"/>
    <w:rsid w:val="00BB3BB3"/>
    <w:rsid w:val="00D113C7"/>
    <w:rsid w:val="00DC5CC9"/>
    <w:rsid w:val="00E23750"/>
    <w:rsid w:val="00E37330"/>
    <w:rsid w:val="00F4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paragraph" w:styleId="1">
    <w:name w:val="heading 1"/>
    <w:basedOn w:val="a"/>
    <w:link w:val="10"/>
    <w:uiPriority w:val="9"/>
    <w:qFormat/>
    <w:rsid w:val="0052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2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205B1"/>
    <w:rPr>
      <w:b/>
      <w:bCs/>
    </w:rPr>
  </w:style>
  <w:style w:type="character" w:customStyle="1" w:styleId="apple-converted-space">
    <w:name w:val="apple-converted-space"/>
    <w:basedOn w:val="a0"/>
    <w:rsid w:val="005205B1"/>
  </w:style>
  <w:style w:type="character" w:styleId="a5">
    <w:name w:val="Emphasis"/>
    <w:basedOn w:val="a0"/>
    <w:uiPriority w:val="20"/>
    <w:qFormat/>
    <w:rsid w:val="005205B1"/>
    <w:rPr>
      <w:i/>
      <w:iCs/>
    </w:rPr>
  </w:style>
  <w:style w:type="paragraph" w:styleId="a6">
    <w:name w:val="Normal (Web)"/>
    <w:basedOn w:val="a"/>
    <w:uiPriority w:val="99"/>
    <w:semiHidden/>
    <w:unhideWhenUsed/>
    <w:rsid w:val="005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05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13">
          <w:marLeft w:val="0"/>
          <w:marRight w:val="0"/>
          <w:marTop w:val="0"/>
          <w:marBottom w:val="0"/>
          <w:divBdr>
            <w:top w:val="single" w:sz="8" w:space="0" w:color="7885AF"/>
            <w:left w:val="single" w:sz="8" w:space="0" w:color="7885AF"/>
            <w:bottom w:val="single" w:sz="8" w:space="0" w:color="7885AF"/>
            <w:right w:val="single" w:sz="8" w:space="0" w:color="7885A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a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a72.ru/" TargetMode="External"/><Relationship Id="rId5" Type="http://schemas.openxmlformats.org/officeDocument/2006/relationships/hyperlink" Target="http://www.terra7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2015-03-26T11:05:00Z</dcterms:created>
  <dcterms:modified xsi:type="dcterms:W3CDTF">2015-03-26T11:45:00Z</dcterms:modified>
</cp:coreProperties>
</file>