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60" w:tblpY="-54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63"/>
        <w:gridCol w:w="6369"/>
      </w:tblGrid>
      <w:tr w:rsidR="001B783F" w:rsidRPr="00476BB2" w:rsidTr="00B0639D">
        <w:trPr>
          <w:trHeight w:val="338"/>
        </w:trPr>
        <w:tc>
          <w:tcPr>
            <w:tcW w:w="10800" w:type="dxa"/>
            <w:gridSpan w:val="3"/>
            <w:vAlign w:val="bottom"/>
          </w:tcPr>
          <w:p w:rsidR="001B783F" w:rsidRPr="00A043AD" w:rsidRDefault="001B783F" w:rsidP="0065278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Проектная декларация о</w:t>
            </w:r>
            <w:r w:rsidRPr="00A043AD">
              <w:rPr>
                <w:b/>
                <w:bCs/>
                <w:sz w:val="25"/>
                <w:szCs w:val="25"/>
              </w:rPr>
              <w:t>бщества с ограниченной ответственностью «Солнечный город»</w:t>
            </w:r>
          </w:p>
          <w:p w:rsidR="001B783F" w:rsidRPr="00A043AD" w:rsidRDefault="001B783F" w:rsidP="0026493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529"/>
        </w:trPr>
        <w:tc>
          <w:tcPr>
            <w:tcW w:w="10800" w:type="dxa"/>
            <w:gridSpan w:val="3"/>
            <w:vAlign w:val="bottom"/>
          </w:tcPr>
          <w:p w:rsidR="001B783F" w:rsidRDefault="001B783F" w:rsidP="003C1B9C">
            <w:pPr>
              <w:jc w:val="center"/>
              <w:rPr>
                <w:sz w:val="25"/>
                <w:szCs w:val="25"/>
              </w:rPr>
            </w:pPr>
            <w:r w:rsidRPr="003C1B9C">
              <w:rPr>
                <w:sz w:val="25"/>
                <w:szCs w:val="25"/>
              </w:rPr>
              <w:t xml:space="preserve">Строительство </w:t>
            </w:r>
            <w:r w:rsidR="00824C12">
              <w:rPr>
                <w:sz w:val="25"/>
                <w:szCs w:val="25"/>
              </w:rPr>
              <w:t>многоэтажного жилого дома с офисными помещениями</w:t>
            </w:r>
            <w:r w:rsidRPr="003C1B9C">
              <w:rPr>
                <w:sz w:val="25"/>
                <w:szCs w:val="25"/>
              </w:rPr>
              <w:t xml:space="preserve"> по адресу: Тюменская обл., г. Тюмень, ул. </w:t>
            </w:r>
            <w:proofErr w:type="spellStart"/>
            <w:r w:rsidR="00824C12">
              <w:rPr>
                <w:sz w:val="25"/>
                <w:szCs w:val="25"/>
              </w:rPr>
              <w:t>Энергостроителей</w:t>
            </w:r>
            <w:proofErr w:type="spellEnd"/>
            <w:r w:rsidR="00824C12">
              <w:rPr>
                <w:sz w:val="25"/>
                <w:szCs w:val="25"/>
              </w:rPr>
              <w:t xml:space="preserve"> 6/1</w:t>
            </w:r>
          </w:p>
          <w:p w:rsidR="001B783F" w:rsidRPr="003C1B9C" w:rsidRDefault="001B783F" w:rsidP="003C1B9C">
            <w:pPr>
              <w:jc w:val="center"/>
              <w:rPr>
                <w:sz w:val="25"/>
                <w:szCs w:val="25"/>
              </w:rPr>
            </w:pPr>
          </w:p>
          <w:p w:rsidR="001B783F" w:rsidRPr="00435C29" w:rsidRDefault="001B783F" w:rsidP="00435C29">
            <w:pPr>
              <w:jc w:val="center"/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255"/>
        </w:trPr>
        <w:tc>
          <w:tcPr>
            <w:tcW w:w="10800" w:type="dxa"/>
            <w:gridSpan w:val="3"/>
            <w:vAlign w:val="bottom"/>
          </w:tcPr>
          <w:p w:rsidR="001B783F" w:rsidRDefault="001B783F" w:rsidP="00B047B1">
            <w:pPr>
              <w:jc w:val="center"/>
              <w:rPr>
                <w:b/>
                <w:bCs/>
                <w:sz w:val="25"/>
                <w:szCs w:val="25"/>
              </w:rPr>
            </w:pPr>
            <w:r w:rsidRPr="00A043AD">
              <w:rPr>
                <w:b/>
                <w:bCs/>
                <w:sz w:val="25"/>
                <w:szCs w:val="25"/>
              </w:rPr>
              <w:t>Информация о застройщике</w:t>
            </w:r>
          </w:p>
          <w:p w:rsidR="001B783F" w:rsidRPr="00A043AD" w:rsidRDefault="001B783F" w:rsidP="00B047B1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540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1</w:t>
            </w:r>
          </w:p>
        </w:tc>
        <w:tc>
          <w:tcPr>
            <w:tcW w:w="3963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Наименование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Общество с ограниченной ответственностью «Солнечный город»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765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2</w:t>
            </w:r>
          </w:p>
        </w:tc>
        <w:tc>
          <w:tcPr>
            <w:tcW w:w="3963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адрес:</w:t>
            </w:r>
            <w:r w:rsidRPr="00A043AD">
              <w:rPr>
                <w:sz w:val="25"/>
                <w:szCs w:val="25"/>
              </w:rPr>
              <w:t xml:space="preserve"> 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Режим работы: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Телефоны: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Фактический и п</w:t>
            </w:r>
            <w:r w:rsidRPr="00A043AD">
              <w:rPr>
                <w:sz w:val="25"/>
                <w:szCs w:val="25"/>
              </w:rPr>
              <w:t>очтовый адрес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6369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625016, г"/>
              </w:smartTagPr>
              <w:r w:rsidRPr="0078498F">
                <w:rPr>
                  <w:sz w:val="25"/>
                  <w:szCs w:val="25"/>
                </w:rPr>
                <w:t>625016, г</w:t>
              </w:r>
            </w:smartTag>
            <w:r w:rsidRPr="0078498F">
              <w:rPr>
                <w:sz w:val="25"/>
                <w:szCs w:val="25"/>
              </w:rPr>
              <w:t xml:space="preserve">. Тюмень, ул. </w:t>
            </w:r>
            <w:r>
              <w:rPr>
                <w:sz w:val="25"/>
                <w:szCs w:val="25"/>
              </w:rPr>
              <w:t>Пермякова,</w:t>
            </w:r>
            <w:r w:rsidRPr="0078498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94</w:t>
            </w:r>
          </w:p>
          <w:p w:rsidR="001B783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Понедельник-пятница 09.00-</w:t>
            </w:r>
            <w:r w:rsidR="000C53CA">
              <w:rPr>
                <w:sz w:val="25"/>
                <w:szCs w:val="25"/>
              </w:rPr>
              <w:t>20</w:t>
            </w:r>
            <w:r w:rsidRPr="0078498F">
              <w:rPr>
                <w:sz w:val="25"/>
                <w:szCs w:val="25"/>
              </w:rPr>
              <w:t xml:space="preserve">.00 ч., </w:t>
            </w:r>
          </w:p>
          <w:p w:rsidR="000C53CA" w:rsidRPr="0078498F" w:rsidRDefault="000C53CA" w:rsidP="00F36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10.00-16.00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096957">
              <w:rPr>
                <w:sz w:val="25"/>
                <w:szCs w:val="25"/>
              </w:rPr>
              <w:t xml:space="preserve">тел/факс (3452) </w:t>
            </w:r>
            <w:r w:rsidR="003B574E">
              <w:rPr>
                <w:sz w:val="25"/>
                <w:szCs w:val="25"/>
              </w:rPr>
              <w:t>550-990</w:t>
            </w:r>
          </w:p>
          <w:p w:rsidR="001B783F" w:rsidRDefault="001B783F" w:rsidP="00F36813">
            <w:pPr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625016, г"/>
              </w:smartTagPr>
              <w:r w:rsidRPr="0078498F">
                <w:rPr>
                  <w:sz w:val="25"/>
                  <w:szCs w:val="25"/>
                </w:rPr>
                <w:t xml:space="preserve">625016, </w:t>
              </w:r>
              <w:proofErr w:type="spellStart"/>
              <w:r w:rsidRPr="0078498F">
                <w:rPr>
                  <w:sz w:val="25"/>
                  <w:szCs w:val="25"/>
                </w:rPr>
                <w:t>г</w:t>
              </w:r>
            </w:smartTag>
            <w:proofErr w:type="gramStart"/>
            <w:r w:rsidRPr="0078498F">
              <w:rPr>
                <w:sz w:val="25"/>
                <w:szCs w:val="25"/>
              </w:rPr>
              <w:t>.Т</w:t>
            </w:r>
            <w:proofErr w:type="gramEnd"/>
            <w:r w:rsidRPr="0078498F">
              <w:rPr>
                <w:sz w:val="25"/>
                <w:szCs w:val="25"/>
              </w:rPr>
              <w:t>юмень</w:t>
            </w:r>
            <w:proofErr w:type="spellEnd"/>
            <w:r w:rsidRPr="0078498F">
              <w:rPr>
                <w:sz w:val="25"/>
                <w:szCs w:val="25"/>
              </w:rPr>
              <w:t>,  ул. Мельникайте 138/1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540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3</w:t>
            </w:r>
          </w:p>
        </w:tc>
        <w:tc>
          <w:tcPr>
            <w:tcW w:w="3963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Государственная регистрация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Зарегистрировано Межрайонной и</w:t>
            </w:r>
            <w:r w:rsidRPr="00A043AD">
              <w:rPr>
                <w:sz w:val="25"/>
                <w:szCs w:val="25"/>
              </w:rPr>
              <w:t xml:space="preserve">нспекцией Федеральной налоговой службы №14 по Тюменской области 31.08.2011, свидетельство серия </w:t>
            </w:r>
            <w:r>
              <w:rPr>
                <w:sz w:val="25"/>
                <w:szCs w:val="25"/>
              </w:rPr>
              <w:t xml:space="preserve">                              72 </w:t>
            </w:r>
            <w:r w:rsidRPr="00A043AD">
              <w:rPr>
                <w:sz w:val="25"/>
                <w:szCs w:val="25"/>
              </w:rPr>
              <w:t>№ 002127761, ОГРН 1117232038252</w:t>
            </w:r>
          </w:p>
          <w:p w:rsidR="001B783F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ИНН/КПП 7203267933/720301001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1857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4</w:t>
            </w:r>
          </w:p>
        </w:tc>
        <w:tc>
          <w:tcPr>
            <w:tcW w:w="3963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Участники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Самойлов Юрий Викторович</w:t>
            </w:r>
            <w:r>
              <w:rPr>
                <w:sz w:val="25"/>
                <w:szCs w:val="25"/>
              </w:rPr>
              <w:t>,  количество голосов в органе управления ООО «Солнечный город» -</w:t>
            </w:r>
            <w:r w:rsidRPr="00A043AD">
              <w:rPr>
                <w:sz w:val="25"/>
                <w:szCs w:val="25"/>
              </w:rPr>
              <w:t xml:space="preserve"> 50 процентов;</w:t>
            </w:r>
          </w:p>
          <w:p w:rsidR="001B783F" w:rsidRDefault="001B783F" w:rsidP="00DB3F46">
            <w:pPr>
              <w:rPr>
                <w:sz w:val="25"/>
                <w:szCs w:val="25"/>
              </w:rPr>
            </w:pPr>
          </w:p>
          <w:p w:rsidR="001B783F" w:rsidRDefault="001B783F" w:rsidP="00DB3F46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 xml:space="preserve">Самойлов Игорь Викторович, </w:t>
            </w:r>
            <w:r>
              <w:rPr>
                <w:sz w:val="25"/>
                <w:szCs w:val="25"/>
              </w:rPr>
              <w:t xml:space="preserve"> количество голосов в органе управления ООО «Солнечный город» -</w:t>
            </w:r>
            <w:r w:rsidRPr="00A043AD">
              <w:rPr>
                <w:sz w:val="25"/>
                <w:szCs w:val="25"/>
              </w:rPr>
              <w:t xml:space="preserve"> 50 процентов</w:t>
            </w:r>
          </w:p>
          <w:p w:rsidR="001B783F" w:rsidRPr="00A043AD" w:rsidRDefault="001B783F" w:rsidP="00DB3F46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1110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5</w:t>
            </w:r>
          </w:p>
        </w:tc>
        <w:tc>
          <w:tcPr>
            <w:tcW w:w="3963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Реализованные проекты строительства в течение трёх лет, предшествующих опубликованию проектной декларации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A043AD" w:rsidRDefault="006D6C9C" w:rsidP="006D6C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Жилой дом с отделением связи, нотариальной конторой (2 очередь, 1 этап) ГП-13. Жилые дома с нежилыми помещениями, расположенный по адресу: </w:t>
            </w:r>
            <w:proofErr w:type="spellStart"/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юмень</w:t>
            </w:r>
            <w:proofErr w:type="spellEnd"/>
            <w:r>
              <w:rPr>
                <w:sz w:val="25"/>
                <w:szCs w:val="25"/>
              </w:rPr>
              <w:t>, ул. Мельникайте 138а (Разрешение на ввод объекта в эксплуатацию № 72-304-364-2012 от «22» мая 2015г.</w:t>
            </w:r>
          </w:p>
        </w:tc>
      </w:tr>
      <w:tr w:rsidR="001B783F" w:rsidRPr="00476BB2" w:rsidTr="00B0639D">
        <w:trPr>
          <w:trHeight w:val="903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6</w:t>
            </w:r>
          </w:p>
        </w:tc>
        <w:tc>
          <w:tcPr>
            <w:tcW w:w="3963" w:type="dxa"/>
            <w:vAlign w:val="bottom"/>
          </w:tcPr>
          <w:p w:rsidR="001B783F" w:rsidRPr="00A043AD" w:rsidRDefault="001B783F" w:rsidP="00B047B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лицензируемой деятельности</w:t>
            </w:r>
            <w:r w:rsidRPr="00A043AD">
              <w:rPr>
                <w:sz w:val="25"/>
                <w:szCs w:val="25"/>
              </w:rPr>
              <w:t xml:space="preserve"> </w:t>
            </w:r>
          </w:p>
          <w:p w:rsidR="001B783F" w:rsidRPr="00A043AD" w:rsidRDefault="001B783F" w:rsidP="00B047B1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Информация о лицензии</w:t>
            </w:r>
          </w:p>
          <w:p w:rsidR="001B783F" w:rsidRPr="00A043AD" w:rsidRDefault="001B783F" w:rsidP="00B047B1">
            <w:pPr>
              <w:rPr>
                <w:sz w:val="25"/>
                <w:szCs w:val="25"/>
              </w:rPr>
            </w:pPr>
          </w:p>
          <w:p w:rsidR="001B783F" w:rsidRPr="00A043AD" w:rsidRDefault="001B783F" w:rsidP="00B047B1">
            <w:pPr>
              <w:rPr>
                <w:sz w:val="25"/>
                <w:szCs w:val="25"/>
              </w:rPr>
            </w:pPr>
          </w:p>
          <w:p w:rsidR="001B783F" w:rsidRPr="00A043AD" w:rsidRDefault="001B783F" w:rsidP="00B047B1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A043AD" w:rsidRDefault="001B783F" w:rsidP="004A4E5F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нет</w:t>
            </w:r>
          </w:p>
        </w:tc>
      </w:tr>
      <w:tr w:rsidR="001B783F" w:rsidRPr="00476BB2" w:rsidTr="00B0639D">
        <w:trPr>
          <w:trHeight w:val="765"/>
        </w:trPr>
        <w:tc>
          <w:tcPr>
            <w:tcW w:w="468" w:type="dxa"/>
          </w:tcPr>
          <w:p w:rsidR="001B783F" w:rsidRPr="00A043AD" w:rsidRDefault="001B783F" w:rsidP="00F36813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7</w:t>
            </w:r>
          </w:p>
        </w:tc>
        <w:tc>
          <w:tcPr>
            <w:tcW w:w="3963" w:type="dxa"/>
            <w:vAlign w:val="bottom"/>
          </w:tcPr>
          <w:p w:rsidR="001B783F" w:rsidRPr="007520BF" w:rsidRDefault="001B783F" w:rsidP="00DB3F46">
            <w:pPr>
              <w:rPr>
                <w:sz w:val="25"/>
                <w:szCs w:val="25"/>
              </w:rPr>
            </w:pPr>
            <w:r w:rsidRPr="007520BF">
              <w:rPr>
                <w:sz w:val="25"/>
                <w:szCs w:val="25"/>
              </w:rPr>
              <w:t xml:space="preserve">Финансовый результат на </w:t>
            </w:r>
            <w:r>
              <w:rPr>
                <w:sz w:val="25"/>
                <w:szCs w:val="25"/>
              </w:rPr>
              <w:t>дату опубликования проектной декларации</w:t>
            </w:r>
          </w:p>
          <w:p w:rsidR="001B783F" w:rsidRPr="007520BF" w:rsidRDefault="001B783F" w:rsidP="00B047B1">
            <w:pPr>
              <w:rPr>
                <w:sz w:val="25"/>
                <w:szCs w:val="25"/>
              </w:rPr>
            </w:pPr>
          </w:p>
          <w:p w:rsidR="001B783F" w:rsidRPr="007520BF" w:rsidRDefault="001B783F" w:rsidP="007B6D14">
            <w:pPr>
              <w:rPr>
                <w:sz w:val="25"/>
                <w:szCs w:val="25"/>
              </w:rPr>
            </w:pPr>
            <w:r w:rsidRPr="007520BF">
              <w:rPr>
                <w:sz w:val="25"/>
                <w:szCs w:val="25"/>
              </w:rPr>
              <w:t xml:space="preserve">Кредиторская задолженность  на </w:t>
            </w:r>
            <w:r>
              <w:rPr>
                <w:sz w:val="25"/>
                <w:szCs w:val="25"/>
              </w:rPr>
              <w:t>дату опубликования проектной декларации</w:t>
            </w:r>
          </w:p>
          <w:p w:rsidR="001B783F" w:rsidRPr="007520BF" w:rsidRDefault="001B783F" w:rsidP="00B047B1">
            <w:pPr>
              <w:rPr>
                <w:sz w:val="25"/>
                <w:szCs w:val="25"/>
              </w:rPr>
            </w:pPr>
          </w:p>
          <w:p w:rsidR="001B783F" w:rsidRPr="007520BF" w:rsidRDefault="001B783F" w:rsidP="007B6D14">
            <w:pPr>
              <w:rPr>
                <w:sz w:val="25"/>
                <w:szCs w:val="25"/>
              </w:rPr>
            </w:pPr>
            <w:r w:rsidRPr="007520BF">
              <w:rPr>
                <w:sz w:val="25"/>
                <w:szCs w:val="25"/>
              </w:rPr>
              <w:t xml:space="preserve">Дебиторская задолженность  на </w:t>
            </w:r>
            <w:r>
              <w:rPr>
                <w:sz w:val="25"/>
                <w:szCs w:val="25"/>
              </w:rPr>
              <w:t xml:space="preserve">дату опубликования проектной </w:t>
            </w:r>
            <w:r>
              <w:rPr>
                <w:sz w:val="25"/>
                <w:szCs w:val="25"/>
              </w:rPr>
              <w:lastRenderedPageBreak/>
              <w:t>декларации</w:t>
            </w:r>
          </w:p>
        </w:tc>
        <w:tc>
          <w:tcPr>
            <w:tcW w:w="6369" w:type="dxa"/>
          </w:tcPr>
          <w:p w:rsidR="00824C12" w:rsidRPr="00824C12" w:rsidRDefault="00824C12" w:rsidP="00824C12">
            <w:pPr>
              <w:rPr>
                <w:sz w:val="25"/>
                <w:szCs w:val="25"/>
              </w:rPr>
            </w:pPr>
            <w:r w:rsidRPr="00824C12">
              <w:rPr>
                <w:sz w:val="25"/>
                <w:szCs w:val="25"/>
              </w:rPr>
              <w:lastRenderedPageBreak/>
              <w:t>Убыток 57 000 рублей</w:t>
            </w: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  <w:r w:rsidRPr="00824C12">
              <w:rPr>
                <w:sz w:val="25"/>
                <w:szCs w:val="25"/>
              </w:rPr>
              <w:t>183 573 000 рублей</w:t>
            </w: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</w:p>
          <w:p w:rsidR="00824C12" w:rsidRPr="00824C12" w:rsidRDefault="00824C12" w:rsidP="00824C12">
            <w:pPr>
              <w:rPr>
                <w:sz w:val="25"/>
                <w:szCs w:val="25"/>
              </w:rPr>
            </w:pPr>
            <w:r w:rsidRPr="00824C12">
              <w:rPr>
                <w:sz w:val="25"/>
                <w:szCs w:val="25"/>
              </w:rPr>
              <w:t>121 510 000 рублей</w:t>
            </w:r>
          </w:p>
          <w:p w:rsidR="001B783F" w:rsidRPr="007520BF" w:rsidRDefault="001B783F" w:rsidP="0026493C">
            <w:pPr>
              <w:rPr>
                <w:sz w:val="25"/>
                <w:szCs w:val="25"/>
              </w:rPr>
            </w:pPr>
          </w:p>
          <w:p w:rsidR="001B783F" w:rsidRPr="007520BF" w:rsidRDefault="001B783F" w:rsidP="0026493C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255"/>
        </w:trPr>
        <w:tc>
          <w:tcPr>
            <w:tcW w:w="10800" w:type="dxa"/>
            <w:gridSpan w:val="3"/>
            <w:vAlign w:val="bottom"/>
          </w:tcPr>
          <w:p w:rsidR="001B783F" w:rsidRDefault="001B783F" w:rsidP="006C19AB">
            <w:pPr>
              <w:rPr>
                <w:b/>
                <w:bCs/>
                <w:sz w:val="25"/>
                <w:szCs w:val="25"/>
              </w:rPr>
            </w:pPr>
          </w:p>
          <w:p w:rsidR="001B783F" w:rsidRDefault="001B783F" w:rsidP="00B047B1">
            <w:pPr>
              <w:jc w:val="center"/>
              <w:rPr>
                <w:b/>
                <w:bCs/>
                <w:sz w:val="25"/>
                <w:szCs w:val="25"/>
              </w:rPr>
            </w:pPr>
            <w:r w:rsidRPr="00A043AD">
              <w:rPr>
                <w:b/>
                <w:bCs/>
                <w:sz w:val="25"/>
                <w:szCs w:val="25"/>
              </w:rPr>
              <w:t>Информация о проекте строительства</w:t>
            </w:r>
          </w:p>
          <w:p w:rsidR="001B783F" w:rsidRPr="00A043AD" w:rsidRDefault="001B783F" w:rsidP="00B047B1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1273"/>
        </w:trPr>
        <w:tc>
          <w:tcPr>
            <w:tcW w:w="468" w:type="dxa"/>
          </w:tcPr>
          <w:p w:rsidR="001B783F" w:rsidRPr="00A043AD" w:rsidRDefault="001B783F" w:rsidP="00A043AD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8</w:t>
            </w:r>
          </w:p>
        </w:tc>
        <w:tc>
          <w:tcPr>
            <w:tcW w:w="3963" w:type="dxa"/>
          </w:tcPr>
          <w:p w:rsidR="001B783F" w:rsidRPr="00A043AD" w:rsidRDefault="001B783F" w:rsidP="00F36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043AD">
              <w:rPr>
                <w:rFonts w:ascii="Times New Roman" w:hAnsi="Times New Roman" w:cs="Times New Roman"/>
                <w:sz w:val="25"/>
                <w:szCs w:val="25"/>
              </w:rPr>
              <w:t xml:space="preserve">Цели проекта строительства </w:t>
            </w:r>
          </w:p>
          <w:p w:rsidR="001B783F" w:rsidRPr="00A043AD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096957" w:rsidRDefault="001B783F" w:rsidP="00043D80">
            <w:pPr>
              <w:rPr>
                <w:sz w:val="25"/>
                <w:szCs w:val="25"/>
              </w:rPr>
            </w:pPr>
            <w:r w:rsidRPr="00096957">
              <w:rPr>
                <w:sz w:val="25"/>
                <w:szCs w:val="25"/>
              </w:rPr>
              <w:t>Активизация застройки города Тюмени, развитие общественной инфраструктуры, создание условий для комфортного проживания и ведения бизнеса.</w:t>
            </w:r>
          </w:p>
        </w:tc>
      </w:tr>
      <w:tr w:rsidR="001B783F" w:rsidRPr="00476BB2" w:rsidTr="00B0639D">
        <w:trPr>
          <w:trHeight w:val="1535"/>
        </w:trPr>
        <w:tc>
          <w:tcPr>
            <w:tcW w:w="468" w:type="dxa"/>
          </w:tcPr>
          <w:p w:rsidR="001B783F" w:rsidRPr="00A043AD" w:rsidRDefault="001B783F" w:rsidP="00A043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963" w:type="dxa"/>
          </w:tcPr>
          <w:p w:rsidR="001B783F" w:rsidRPr="00A043AD" w:rsidRDefault="001B783F" w:rsidP="00043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043AD">
              <w:rPr>
                <w:rFonts w:ascii="Times New Roman" w:hAnsi="Times New Roman" w:cs="Times New Roman"/>
                <w:sz w:val="25"/>
                <w:szCs w:val="25"/>
              </w:rPr>
              <w:t xml:space="preserve">Этапы и сроки реализации проекта </w:t>
            </w:r>
          </w:p>
          <w:p w:rsidR="001B783F" w:rsidRPr="00A043AD" w:rsidRDefault="001B783F" w:rsidP="00F36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096957" w:rsidRDefault="001B783F" w:rsidP="00043D80">
            <w:pPr>
              <w:rPr>
                <w:color w:val="000000"/>
                <w:sz w:val="25"/>
                <w:szCs w:val="25"/>
              </w:rPr>
            </w:pPr>
            <w:r w:rsidRPr="00096957">
              <w:rPr>
                <w:color w:val="000000"/>
                <w:sz w:val="25"/>
                <w:szCs w:val="25"/>
              </w:rPr>
              <w:t xml:space="preserve">Начало строительства </w:t>
            </w:r>
            <w:r w:rsidR="006D6C9C">
              <w:rPr>
                <w:color w:val="000000"/>
                <w:sz w:val="25"/>
                <w:szCs w:val="25"/>
              </w:rPr>
              <w:t>август</w:t>
            </w:r>
            <w:r w:rsidRPr="00096957">
              <w:rPr>
                <w:color w:val="000000"/>
                <w:sz w:val="25"/>
                <w:szCs w:val="25"/>
              </w:rPr>
              <w:t xml:space="preserve"> 201</w:t>
            </w:r>
            <w:r w:rsidR="00DA7F4A">
              <w:rPr>
                <w:color w:val="000000"/>
                <w:sz w:val="25"/>
                <w:szCs w:val="25"/>
              </w:rPr>
              <w:t>5</w:t>
            </w:r>
            <w:r w:rsidRPr="00096957">
              <w:rPr>
                <w:color w:val="000000"/>
                <w:sz w:val="25"/>
                <w:szCs w:val="25"/>
              </w:rPr>
              <w:t xml:space="preserve"> г.</w:t>
            </w:r>
          </w:p>
          <w:p w:rsidR="001B783F" w:rsidRPr="00096957" w:rsidRDefault="001B783F" w:rsidP="00043D80">
            <w:pPr>
              <w:rPr>
                <w:color w:val="000000"/>
                <w:sz w:val="25"/>
                <w:szCs w:val="25"/>
              </w:rPr>
            </w:pPr>
            <w:r w:rsidRPr="00096957">
              <w:rPr>
                <w:color w:val="000000"/>
                <w:sz w:val="25"/>
                <w:szCs w:val="25"/>
              </w:rPr>
              <w:t>Окончание строительства</w:t>
            </w:r>
            <w:r w:rsidR="006D6C9C">
              <w:rPr>
                <w:color w:val="000000"/>
                <w:sz w:val="25"/>
                <w:szCs w:val="25"/>
              </w:rPr>
              <w:t xml:space="preserve"> март</w:t>
            </w:r>
            <w:r w:rsidR="00DA7F4A">
              <w:rPr>
                <w:color w:val="000000"/>
                <w:sz w:val="25"/>
                <w:szCs w:val="25"/>
              </w:rPr>
              <w:t xml:space="preserve"> </w:t>
            </w:r>
            <w:r w:rsidRPr="00096957">
              <w:rPr>
                <w:color w:val="000000"/>
                <w:sz w:val="25"/>
                <w:szCs w:val="25"/>
              </w:rPr>
              <w:t xml:space="preserve"> 201</w:t>
            </w:r>
            <w:r w:rsidR="006D6C9C">
              <w:rPr>
                <w:color w:val="000000"/>
                <w:sz w:val="25"/>
                <w:szCs w:val="25"/>
              </w:rPr>
              <w:t xml:space="preserve">8 </w:t>
            </w:r>
            <w:r w:rsidRPr="00096957">
              <w:rPr>
                <w:color w:val="000000"/>
                <w:sz w:val="25"/>
                <w:szCs w:val="25"/>
              </w:rPr>
              <w:t>г.</w:t>
            </w:r>
          </w:p>
          <w:p w:rsidR="001B783F" w:rsidRPr="00096957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1535"/>
        </w:trPr>
        <w:tc>
          <w:tcPr>
            <w:tcW w:w="468" w:type="dxa"/>
          </w:tcPr>
          <w:p w:rsidR="001B783F" w:rsidRPr="00A043AD" w:rsidRDefault="001B783F" w:rsidP="00A043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963" w:type="dxa"/>
          </w:tcPr>
          <w:p w:rsidR="001B783F" w:rsidRPr="00A043AD" w:rsidRDefault="001B783F" w:rsidP="00043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043AD">
              <w:rPr>
                <w:rFonts w:ascii="Times New Roman" w:hAnsi="Times New Roman" w:cs="Times New Roman"/>
                <w:sz w:val="25"/>
                <w:szCs w:val="25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r w:rsidRPr="00A043AD">
              <w:rPr>
                <w:rFonts w:ascii="Times New Roman" w:hAnsi="Times New Roman" w:cs="Times New Roman"/>
                <w:sz w:val="25"/>
                <w:szCs w:val="25"/>
              </w:rPr>
              <w:t>государственной экспертизы проектной документации</w:t>
            </w:r>
          </w:p>
          <w:p w:rsidR="001B783F" w:rsidRPr="00A043AD" w:rsidRDefault="001B783F" w:rsidP="00F36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1B783F" w:rsidP="00043D80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>Проект получил положительное заключение негосударственной экспертизы ООО «</w:t>
            </w:r>
            <w:proofErr w:type="spellStart"/>
            <w:r w:rsidRPr="00F13A11">
              <w:rPr>
                <w:color w:val="000000"/>
                <w:sz w:val="25"/>
                <w:szCs w:val="25"/>
              </w:rPr>
              <w:t>Геопроект</w:t>
            </w:r>
            <w:proofErr w:type="spellEnd"/>
            <w:r w:rsidRPr="00F13A11">
              <w:rPr>
                <w:color w:val="000000"/>
                <w:sz w:val="25"/>
                <w:szCs w:val="25"/>
              </w:rPr>
              <w:t>» №2-1-1-</w:t>
            </w:r>
            <w:r w:rsidR="006D6C9C">
              <w:rPr>
                <w:color w:val="000000"/>
                <w:sz w:val="25"/>
                <w:szCs w:val="25"/>
              </w:rPr>
              <w:t>0013</w:t>
            </w:r>
            <w:r w:rsidRPr="00F13A11">
              <w:rPr>
                <w:color w:val="000000"/>
                <w:sz w:val="25"/>
                <w:szCs w:val="25"/>
              </w:rPr>
              <w:t>-1</w:t>
            </w:r>
            <w:r w:rsidR="006D6C9C">
              <w:rPr>
                <w:color w:val="000000"/>
                <w:sz w:val="25"/>
                <w:szCs w:val="25"/>
              </w:rPr>
              <w:t>4</w:t>
            </w:r>
            <w:r w:rsidRPr="00F13A11">
              <w:rPr>
                <w:color w:val="000000"/>
                <w:sz w:val="25"/>
                <w:szCs w:val="25"/>
              </w:rPr>
              <w:t xml:space="preserve"> от </w:t>
            </w:r>
            <w:r w:rsidR="006D6C9C">
              <w:rPr>
                <w:color w:val="000000"/>
                <w:sz w:val="25"/>
                <w:szCs w:val="25"/>
              </w:rPr>
              <w:t>26</w:t>
            </w:r>
            <w:r w:rsidRPr="00F13A11">
              <w:rPr>
                <w:color w:val="000000"/>
                <w:sz w:val="25"/>
                <w:szCs w:val="25"/>
              </w:rPr>
              <w:t>.0</w:t>
            </w:r>
            <w:r w:rsidR="006D6C9C">
              <w:rPr>
                <w:color w:val="000000"/>
                <w:sz w:val="25"/>
                <w:szCs w:val="25"/>
              </w:rPr>
              <w:t>3</w:t>
            </w:r>
            <w:r w:rsidRPr="00F13A11">
              <w:rPr>
                <w:color w:val="000000"/>
                <w:sz w:val="25"/>
                <w:szCs w:val="25"/>
              </w:rPr>
              <w:t>.201</w:t>
            </w:r>
            <w:r w:rsidR="006D6C9C">
              <w:rPr>
                <w:color w:val="000000"/>
                <w:sz w:val="25"/>
                <w:szCs w:val="25"/>
              </w:rPr>
              <w:t>4</w:t>
            </w:r>
            <w:r w:rsidRPr="00F13A11">
              <w:rPr>
                <w:color w:val="000000"/>
                <w:sz w:val="25"/>
                <w:szCs w:val="25"/>
              </w:rPr>
              <w:t>г. Свидетельство об аккредитации №72-2-5-041-09 от 20.08.2009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476BB2" w:rsidTr="00B0639D">
        <w:trPr>
          <w:trHeight w:val="540"/>
        </w:trPr>
        <w:tc>
          <w:tcPr>
            <w:tcW w:w="468" w:type="dxa"/>
          </w:tcPr>
          <w:p w:rsidR="001B783F" w:rsidRPr="00A043AD" w:rsidRDefault="001B783F" w:rsidP="00A043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3963" w:type="dxa"/>
          </w:tcPr>
          <w:p w:rsidR="001B783F" w:rsidRPr="00A043AD" w:rsidRDefault="001B783F" w:rsidP="00A043AD">
            <w:pPr>
              <w:rPr>
                <w:sz w:val="25"/>
                <w:szCs w:val="25"/>
              </w:rPr>
            </w:pPr>
            <w:r w:rsidRPr="00A043AD">
              <w:rPr>
                <w:sz w:val="25"/>
                <w:szCs w:val="25"/>
              </w:rPr>
              <w:t>Разрешение на строительство</w:t>
            </w:r>
          </w:p>
          <w:p w:rsidR="001B783F" w:rsidRPr="00A043AD" w:rsidRDefault="001B783F" w:rsidP="00A043AD">
            <w:pPr>
              <w:rPr>
                <w:sz w:val="25"/>
                <w:szCs w:val="25"/>
              </w:rPr>
            </w:pPr>
          </w:p>
          <w:p w:rsidR="001B783F" w:rsidRPr="00A043AD" w:rsidRDefault="001B783F" w:rsidP="00A043AD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  <w:vAlign w:val="bottom"/>
          </w:tcPr>
          <w:p w:rsidR="001B783F" w:rsidRPr="00A043AD" w:rsidRDefault="001B783F" w:rsidP="00B047B1">
            <w:pPr>
              <w:rPr>
                <w:color w:val="000000"/>
                <w:sz w:val="25"/>
                <w:szCs w:val="25"/>
              </w:rPr>
            </w:pPr>
            <w:r w:rsidRPr="00A043AD">
              <w:rPr>
                <w:color w:val="000000"/>
                <w:sz w:val="25"/>
                <w:szCs w:val="25"/>
              </w:rPr>
              <w:t>Разрешение на строительство №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A043AD">
              <w:rPr>
                <w:color w:val="000000"/>
                <w:sz w:val="25"/>
                <w:szCs w:val="25"/>
                <w:lang w:val="en-US"/>
              </w:rPr>
              <w:t>RU</w:t>
            </w:r>
            <w:r w:rsidRPr="00A043AD">
              <w:rPr>
                <w:color w:val="000000"/>
                <w:sz w:val="25"/>
                <w:szCs w:val="25"/>
              </w:rPr>
              <w:t>72304000-</w:t>
            </w:r>
            <w:r w:rsidR="006D6C9C">
              <w:rPr>
                <w:color w:val="000000"/>
                <w:sz w:val="25"/>
                <w:szCs w:val="25"/>
              </w:rPr>
              <w:t>499</w:t>
            </w:r>
            <w:r w:rsidRPr="00A043AD">
              <w:rPr>
                <w:color w:val="000000"/>
                <w:sz w:val="25"/>
                <w:szCs w:val="25"/>
              </w:rPr>
              <w:t xml:space="preserve">-рс от </w:t>
            </w:r>
            <w:r w:rsidR="00DA7F4A">
              <w:rPr>
                <w:color w:val="000000"/>
                <w:sz w:val="25"/>
                <w:szCs w:val="25"/>
              </w:rPr>
              <w:t>19</w:t>
            </w:r>
            <w:r>
              <w:rPr>
                <w:color w:val="000000"/>
                <w:sz w:val="25"/>
                <w:szCs w:val="25"/>
              </w:rPr>
              <w:t>.</w:t>
            </w:r>
            <w:r w:rsidR="006D6C9C">
              <w:rPr>
                <w:color w:val="000000"/>
                <w:sz w:val="25"/>
                <w:szCs w:val="25"/>
              </w:rPr>
              <w:t>12</w:t>
            </w:r>
            <w:r>
              <w:rPr>
                <w:color w:val="000000"/>
                <w:sz w:val="25"/>
                <w:szCs w:val="25"/>
              </w:rPr>
              <w:t>.201</w:t>
            </w:r>
            <w:r w:rsidR="006D6C9C">
              <w:rPr>
                <w:color w:val="000000"/>
                <w:sz w:val="25"/>
                <w:szCs w:val="25"/>
              </w:rPr>
              <w:t>3</w:t>
            </w:r>
            <w:r>
              <w:rPr>
                <w:color w:val="000000"/>
                <w:sz w:val="25"/>
                <w:szCs w:val="25"/>
              </w:rPr>
              <w:t>г., выданное Администрацией города</w:t>
            </w:r>
            <w:r w:rsidRPr="00A043AD">
              <w:rPr>
                <w:color w:val="000000"/>
                <w:sz w:val="25"/>
                <w:szCs w:val="25"/>
              </w:rPr>
              <w:t xml:space="preserve"> Тюмени. </w:t>
            </w:r>
          </w:p>
          <w:p w:rsidR="001B783F" w:rsidRDefault="001B783F" w:rsidP="00B047B1">
            <w:pPr>
              <w:rPr>
                <w:color w:val="000000"/>
                <w:sz w:val="25"/>
                <w:szCs w:val="25"/>
              </w:rPr>
            </w:pPr>
            <w:r w:rsidRPr="00A043AD">
              <w:rPr>
                <w:color w:val="000000"/>
                <w:sz w:val="25"/>
                <w:szCs w:val="25"/>
              </w:rPr>
              <w:t xml:space="preserve">Срок действия - </w:t>
            </w:r>
            <w:r w:rsidRPr="00160A75">
              <w:rPr>
                <w:color w:val="000000"/>
                <w:sz w:val="25"/>
                <w:szCs w:val="25"/>
              </w:rPr>
              <w:t xml:space="preserve">до </w:t>
            </w:r>
            <w:r w:rsidR="00DA7F4A">
              <w:rPr>
                <w:color w:val="000000"/>
                <w:sz w:val="25"/>
                <w:szCs w:val="25"/>
              </w:rPr>
              <w:t>19</w:t>
            </w:r>
            <w:r w:rsidRPr="00160A75">
              <w:rPr>
                <w:color w:val="000000"/>
                <w:sz w:val="25"/>
                <w:szCs w:val="25"/>
              </w:rPr>
              <w:t>.</w:t>
            </w:r>
            <w:r w:rsidR="006D6C9C">
              <w:rPr>
                <w:color w:val="000000"/>
                <w:sz w:val="25"/>
                <w:szCs w:val="25"/>
              </w:rPr>
              <w:t>08</w:t>
            </w:r>
            <w:r w:rsidRPr="00160A75">
              <w:rPr>
                <w:color w:val="000000"/>
                <w:sz w:val="25"/>
                <w:szCs w:val="25"/>
              </w:rPr>
              <w:t>.201</w:t>
            </w:r>
            <w:r w:rsidR="006D6C9C">
              <w:rPr>
                <w:color w:val="000000"/>
                <w:sz w:val="25"/>
                <w:szCs w:val="25"/>
              </w:rPr>
              <w:t>6</w:t>
            </w:r>
            <w:r w:rsidRPr="00160A75">
              <w:rPr>
                <w:color w:val="000000"/>
                <w:sz w:val="25"/>
                <w:szCs w:val="25"/>
              </w:rPr>
              <w:t>г.</w:t>
            </w:r>
            <w:r w:rsidRPr="00A043AD">
              <w:rPr>
                <w:color w:val="000000"/>
                <w:sz w:val="25"/>
                <w:szCs w:val="25"/>
              </w:rPr>
              <w:t xml:space="preserve"> </w:t>
            </w:r>
          </w:p>
          <w:p w:rsidR="001B783F" w:rsidRPr="00A043AD" w:rsidRDefault="001B783F" w:rsidP="00B047B1">
            <w:pPr>
              <w:rPr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2332"/>
        </w:trPr>
        <w:tc>
          <w:tcPr>
            <w:tcW w:w="468" w:type="dxa"/>
          </w:tcPr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12</w:t>
            </w:r>
          </w:p>
        </w:tc>
        <w:tc>
          <w:tcPr>
            <w:tcW w:w="3963" w:type="dxa"/>
          </w:tcPr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Права на земельный участок</w:t>
            </w: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 xml:space="preserve">Земельный участок площадью </w:t>
            </w:r>
            <w:r w:rsidR="006D6C9C">
              <w:rPr>
                <w:sz w:val="25"/>
                <w:szCs w:val="25"/>
              </w:rPr>
              <w:t>6683</w:t>
            </w:r>
            <w:r w:rsidRPr="0078498F">
              <w:rPr>
                <w:sz w:val="25"/>
                <w:szCs w:val="25"/>
              </w:rPr>
              <w:t xml:space="preserve"> кв. м, кадастровый номер 72:23:04 </w:t>
            </w:r>
            <w:r w:rsidR="006D6C9C">
              <w:rPr>
                <w:sz w:val="25"/>
                <w:szCs w:val="25"/>
              </w:rPr>
              <w:t>32</w:t>
            </w:r>
            <w:r w:rsidRPr="0078498F">
              <w:rPr>
                <w:sz w:val="25"/>
                <w:szCs w:val="25"/>
              </w:rPr>
              <w:t> 002:</w:t>
            </w:r>
            <w:r w:rsidR="006D6C9C">
              <w:rPr>
                <w:sz w:val="25"/>
                <w:szCs w:val="25"/>
              </w:rPr>
              <w:t>237</w:t>
            </w:r>
            <w:r w:rsidRPr="0078498F">
              <w:rPr>
                <w:sz w:val="25"/>
                <w:szCs w:val="25"/>
              </w:rPr>
              <w:t xml:space="preserve">. Категория земель: земли населённых пунктов, разрешённое использование: </w:t>
            </w:r>
            <w:r w:rsidR="00627A0D">
              <w:rPr>
                <w:sz w:val="25"/>
                <w:szCs w:val="25"/>
              </w:rPr>
              <w:t>для размещения многоэтажной жилой застройки</w:t>
            </w:r>
            <w:r w:rsidRPr="0078498F">
              <w:rPr>
                <w:sz w:val="25"/>
                <w:szCs w:val="25"/>
              </w:rPr>
              <w:t xml:space="preserve">. </w:t>
            </w: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Принадлежит на праве субаренды на основании:</w:t>
            </w:r>
          </w:p>
          <w:p w:rsidR="001B783F" w:rsidRPr="0078498F" w:rsidRDefault="00627A0D" w:rsidP="00EF1C5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Договора </w:t>
            </w:r>
            <w:r w:rsidR="001B783F" w:rsidRPr="0078498F">
              <w:rPr>
                <w:sz w:val="25"/>
                <w:szCs w:val="25"/>
              </w:rPr>
              <w:t xml:space="preserve"> № 2</w:t>
            </w:r>
            <w:r>
              <w:rPr>
                <w:sz w:val="25"/>
                <w:szCs w:val="25"/>
              </w:rPr>
              <w:t>3</w:t>
            </w:r>
            <w:r w:rsidR="001B783F" w:rsidRPr="0078498F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20/1571</w:t>
            </w:r>
            <w:r w:rsidR="001B783F" w:rsidRPr="0078498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аренды </w:t>
            </w:r>
            <w:r w:rsidR="001B783F" w:rsidRPr="0078498F">
              <w:rPr>
                <w:sz w:val="25"/>
                <w:szCs w:val="25"/>
              </w:rPr>
              <w:t>земельного участка, предоставляемого для строительства от «</w:t>
            </w:r>
            <w:r>
              <w:rPr>
                <w:sz w:val="25"/>
                <w:szCs w:val="25"/>
              </w:rPr>
              <w:t>14</w:t>
            </w:r>
            <w:r w:rsidR="001B783F" w:rsidRPr="0078498F"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t>октября</w:t>
            </w:r>
            <w:r w:rsidR="001B783F" w:rsidRPr="0078498F">
              <w:rPr>
                <w:sz w:val="25"/>
                <w:szCs w:val="25"/>
              </w:rPr>
              <w:t xml:space="preserve"> 20</w:t>
            </w:r>
            <w:r>
              <w:rPr>
                <w:sz w:val="25"/>
                <w:szCs w:val="25"/>
              </w:rPr>
              <w:t>08</w:t>
            </w:r>
            <w:r w:rsidR="001B783F" w:rsidRPr="0078498F">
              <w:rPr>
                <w:sz w:val="25"/>
                <w:szCs w:val="25"/>
              </w:rPr>
              <w:t xml:space="preserve"> года, зарегистрированным Управлением федеральной службы государственной регистрации, кадастра и картографии по Тюменской области за номером 72-72-01/</w:t>
            </w:r>
            <w:r>
              <w:rPr>
                <w:sz w:val="25"/>
                <w:szCs w:val="25"/>
              </w:rPr>
              <w:t>089</w:t>
            </w:r>
            <w:r w:rsidR="001B783F" w:rsidRPr="0078498F">
              <w:rPr>
                <w:sz w:val="25"/>
                <w:szCs w:val="25"/>
              </w:rPr>
              <w:t>/20</w:t>
            </w:r>
            <w:r>
              <w:rPr>
                <w:sz w:val="25"/>
                <w:szCs w:val="25"/>
              </w:rPr>
              <w:t>09-010</w:t>
            </w:r>
            <w:r w:rsidR="001B783F" w:rsidRPr="0078498F">
              <w:rPr>
                <w:sz w:val="25"/>
                <w:szCs w:val="25"/>
              </w:rPr>
              <w:t xml:space="preserve"> от «</w:t>
            </w:r>
            <w:r>
              <w:rPr>
                <w:sz w:val="25"/>
                <w:szCs w:val="25"/>
              </w:rPr>
              <w:t>7</w:t>
            </w:r>
            <w:r w:rsidR="001B783F" w:rsidRPr="0078498F"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t>апреля</w:t>
            </w:r>
            <w:r w:rsidR="001B783F" w:rsidRPr="0078498F">
              <w:rPr>
                <w:sz w:val="25"/>
                <w:szCs w:val="25"/>
              </w:rPr>
              <w:t xml:space="preserve"> 20</w:t>
            </w:r>
            <w:r>
              <w:rPr>
                <w:sz w:val="25"/>
                <w:szCs w:val="25"/>
              </w:rPr>
              <w:t>09</w:t>
            </w:r>
            <w:r w:rsidR="001B783F" w:rsidRPr="0078498F">
              <w:rPr>
                <w:sz w:val="25"/>
                <w:szCs w:val="25"/>
              </w:rPr>
              <w:t xml:space="preserve"> г.</w:t>
            </w:r>
          </w:p>
          <w:p w:rsidR="001B783F" w:rsidRPr="0078498F" w:rsidRDefault="001B783F" w:rsidP="002479BA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 xml:space="preserve">- </w:t>
            </w:r>
            <w:r w:rsidR="00627A0D">
              <w:rPr>
                <w:sz w:val="25"/>
                <w:szCs w:val="25"/>
              </w:rPr>
              <w:t xml:space="preserve">Договора уступки права аренды земельного участка от «26» сентября 2013г., </w:t>
            </w:r>
            <w:r w:rsidR="00627A0D" w:rsidRPr="0078498F">
              <w:rPr>
                <w:sz w:val="25"/>
                <w:szCs w:val="25"/>
              </w:rPr>
              <w:t>зарегистрированным Управлением федеральной службы государственной регистрации, кадастра и картографии по Тюменской области за номером 72-72-01/</w:t>
            </w:r>
            <w:r w:rsidR="00627A0D">
              <w:rPr>
                <w:sz w:val="25"/>
                <w:szCs w:val="25"/>
              </w:rPr>
              <w:t>459</w:t>
            </w:r>
            <w:r w:rsidR="00627A0D" w:rsidRPr="0078498F">
              <w:rPr>
                <w:sz w:val="25"/>
                <w:szCs w:val="25"/>
              </w:rPr>
              <w:t>/20</w:t>
            </w:r>
            <w:r w:rsidR="00627A0D">
              <w:rPr>
                <w:sz w:val="25"/>
                <w:szCs w:val="25"/>
              </w:rPr>
              <w:t>13-031</w:t>
            </w:r>
            <w:r w:rsidR="00627A0D" w:rsidRPr="0078498F">
              <w:rPr>
                <w:sz w:val="25"/>
                <w:szCs w:val="25"/>
              </w:rPr>
              <w:t xml:space="preserve"> от «</w:t>
            </w:r>
            <w:r w:rsidR="00627A0D">
              <w:rPr>
                <w:sz w:val="25"/>
                <w:szCs w:val="25"/>
              </w:rPr>
              <w:t>14</w:t>
            </w:r>
            <w:r w:rsidR="00627A0D" w:rsidRPr="0078498F">
              <w:rPr>
                <w:sz w:val="25"/>
                <w:szCs w:val="25"/>
              </w:rPr>
              <w:t xml:space="preserve">» </w:t>
            </w:r>
            <w:r w:rsidR="00627A0D">
              <w:rPr>
                <w:sz w:val="25"/>
                <w:szCs w:val="25"/>
              </w:rPr>
              <w:t xml:space="preserve">октября </w:t>
            </w:r>
            <w:r w:rsidR="00627A0D" w:rsidRPr="0078498F">
              <w:rPr>
                <w:sz w:val="25"/>
                <w:szCs w:val="25"/>
              </w:rPr>
              <w:t xml:space="preserve"> 20</w:t>
            </w:r>
            <w:r w:rsidR="00627A0D">
              <w:rPr>
                <w:sz w:val="25"/>
                <w:szCs w:val="25"/>
              </w:rPr>
              <w:t>13</w:t>
            </w:r>
            <w:r w:rsidR="00627A0D" w:rsidRPr="0078498F">
              <w:rPr>
                <w:sz w:val="25"/>
                <w:szCs w:val="25"/>
              </w:rPr>
              <w:t xml:space="preserve"> г.</w:t>
            </w:r>
          </w:p>
          <w:p w:rsidR="001B783F" w:rsidRPr="0078498F" w:rsidRDefault="001B783F" w:rsidP="00EF1C51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 xml:space="preserve">- Соглашения от 19.03.2008г. о </w:t>
            </w:r>
            <w:r w:rsidR="00D76495">
              <w:rPr>
                <w:sz w:val="25"/>
                <w:szCs w:val="25"/>
              </w:rPr>
              <w:t xml:space="preserve">продлении и </w:t>
            </w:r>
            <w:r w:rsidRPr="0078498F">
              <w:rPr>
                <w:sz w:val="25"/>
                <w:szCs w:val="25"/>
              </w:rPr>
              <w:t>внесении изменений в договор аренды земельного участка №  23-</w:t>
            </w:r>
            <w:r w:rsidR="00D76495">
              <w:rPr>
                <w:sz w:val="25"/>
                <w:szCs w:val="25"/>
              </w:rPr>
              <w:t>2</w:t>
            </w:r>
            <w:r w:rsidRPr="0078498F">
              <w:rPr>
                <w:sz w:val="25"/>
                <w:szCs w:val="25"/>
              </w:rPr>
              <w:t>0/</w:t>
            </w:r>
            <w:r w:rsidR="00D76495">
              <w:rPr>
                <w:sz w:val="25"/>
                <w:szCs w:val="25"/>
              </w:rPr>
              <w:t>1571</w:t>
            </w:r>
            <w:r w:rsidRPr="0078498F">
              <w:rPr>
                <w:sz w:val="25"/>
                <w:szCs w:val="25"/>
              </w:rPr>
              <w:t xml:space="preserve"> от  «2</w:t>
            </w:r>
            <w:r w:rsidR="00D76495">
              <w:rPr>
                <w:sz w:val="25"/>
                <w:szCs w:val="25"/>
              </w:rPr>
              <w:t>8</w:t>
            </w:r>
            <w:r w:rsidRPr="0078498F">
              <w:rPr>
                <w:sz w:val="25"/>
                <w:szCs w:val="25"/>
              </w:rPr>
              <w:t xml:space="preserve">» </w:t>
            </w:r>
            <w:r w:rsidR="00D76495">
              <w:rPr>
                <w:sz w:val="25"/>
                <w:szCs w:val="25"/>
              </w:rPr>
              <w:t>июля</w:t>
            </w:r>
            <w:r w:rsidRPr="0078498F">
              <w:rPr>
                <w:sz w:val="25"/>
                <w:szCs w:val="25"/>
              </w:rPr>
              <w:t xml:space="preserve"> 20</w:t>
            </w:r>
            <w:r w:rsidR="00D76495">
              <w:rPr>
                <w:sz w:val="25"/>
                <w:szCs w:val="25"/>
              </w:rPr>
              <w:t>14</w:t>
            </w:r>
            <w:r w:rsidRPr="0078498F">
              <w:rPr>
                <w:sz w:val="25"/>
                <w:szCs w:val="25"/>
              </w:rPr>
              <w:t xml:space="preserve"> года, зарегистрированным Управлением федеральной службы государственной регистрации, кадастра и картографии по Тюменской области за номером 72-72-01/</w:t>
            </w:r>
            <w:r w:rsidR="00D76495">
              <w:rPr>
                <w:sz w:val="25"/>
                <w:szCs w:val="25"/>
              </w:rPr>
              <w:t>426</w:t>
            </w:r>
            <w:r w:rsidRPr="0078498F">
              <w:rPr>
                <w:sz w:val="25"/>
                <w:szCs w:val="25"/>
              </w:rPr>
              <w:t>/201</w:t>
            </w:r>
            <w:r w:rsidR="00D76495">
              <w:rPr>
                <w:sz w:val="25"/>
                <w:szCs w:val="25"/>
              </w:rPr>
              <w:t>4</w:t>
            </w:r>
            <w:r w:rsidRPr="0078498F">
              <w:rPr>
                <w:sz w:val="25"/>
                <w:szCs w:val="25"/>
              </w:rPr>
              <w:t>-</w:t>
            </w:r>
            <w:r w:rsidR="00D76495">
              <w:rPr>
                <w:sz w:val="25"/>
                <w:szCs w:val="25"/>
              </w:rPr>
              <w:t>085  «21</w:t>
            </w:r>
            <w:r w:rsidRPr="0078498F">
              <w:rPr>
                <w:sz w:val="25"/>
                <w:szCs w:val="25"/>
              </w:rPr>
              <w:t xml:space="preserve">» </w:t>
            </w:r>
            <w:r w:rsidR="00D76495">
              <w:rPr>
                <w:sz w:val="25"/>
                <w:szCs w:val="25"/>
              </w:rPr>
              <w:t>августа</w:t>
            </w:r>
            <w:r w:rsidRPr="0078498F">
              <w:rPr>
                <w:sz w:val="25"/>
                <w:szCs w:val="25"/>
              </w:rPr>
              <w:t xml:space="preserve"> 201</w:t>
            </w:r>
            <w:r w:rsidR="00D76495">
              <w:rPr>
                <w:sz w:val="25"/>
                <w:szCs w:val="25"/>
              </w:rPr>
              <w:t>4</w:t>
            </w:r>
            <w:r w:rsidRPr="0078498F">
              <w:rPr>
                <w:sz w:val="25"/>
                <w:szCs w:val="25"/>
              </w:rPr>
              <w:t xml:space="preserve"> года;</w:t>
            </w:r>
          </w:p>
          <w:p w:rsidR="001B783F" w:rsidRPr="0078498F" w:rsidRDefault="001B783F" w:rsidP="00B0639D">
            <w:pPr>
              <w:rPr>
                <w:color w:val="000000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4488"/>
        </w:trPr>
        <w:tc>
          <w:tcPr>
            <w:tcW w:w="468" w:type="dxa"/>
          </w:tcPr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3963" w:type="dxa"/>
          </w:tcPr>
          <w:p w:rsidR="001B783F" w:rsidRPr="0078498F" w:rsidRDefault="001B783F" w:rsidP="00B0639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Благоустройство территории</w:t>
            </w:r>
          </w:p>
          <w:p w:rsidR="001B783F" w:rsidRPr="0078498F" w:rsidRDefault="001B783F" w:rsidP="00B0639D">
            <w:pPr>
              <w:rPr>
                <w:sz w:val="25"/>
                <w:szCs w:val="25"/>
              </w:rPr>
            </w:pP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1B783F" w:rsidP="00B0639D">
            <w:pPr>
              <w:ind w:right="-104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Благоустройство территории решается устройством проездов, стоянок личного транспорта, тротуаров, площадок отдыха, оборудованных архитектурными формами фирмы КСИЛ, ОАО «</w:t>
            </w:r>
            <w:proofErr w:type="spellStart"/>
            <w:r w:rsidRPr="0078498F">
              <w:rPr>
                <w:color w:val="000000"/>
                <w:sz w:val="25"/>
                <w:szCs w:val="25"/>
              </w:rPr>
              <w:t>Югор</w:t>
            </w:r>
            <w:proofErr w:type="spellEnd"/>
            <w:r w:rsidRPr="0078498F">
              <w:rPr>
                <w:color w:val="000000"/>
                <w:sz w:val="25"/>
                <w:szCs w:val="25"/>
              </w:rPr>
              <w:t>», ООО «Алгоритм». Благоустройство выполнено без резких перепадов на путях пешеходного движения, без порогов, в местах пересечения пешеходных тротуаров с проезжей частью выполнены участки пандусов с уклоном до 1:15, шириной 1м., предусмотрен въездной пандус.</w:t>
            </w:r>
          </w:p>
          <w:p w:rsidR="001B783F" w:rsidRPr="0078498F" w:rsidRDefault="001B783F" w:rsidP="00B0639D">
            <w:pPr>
              <w:pStyle w:val="a4"/>
              <w:ind w:left="0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Озеленение территории решено посадкой деревьев с комом и деревьев-саженцев лиственных пород, кустарников, устройством газонов.</w:t>
            </w:r>
          </w:p>
          <w:p w:rsidR="001B783F" w:rsidRPr="0078498F" w:rsidRDefault="001B783F" w:rsidP="00B0639D">
            <w:pPr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Покрытия проездов, стоянок – асфальтобетон, покрытие площадок – крупнозернистый песок.</w:t>
            </w: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540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14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Описание объекта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  <w:vAlign w:val="bottom"/>
          </w:tcPr>
          <w:p w:rsidR="001B783F" w:rsidRDefault="001B783F" w:rsidP="00F36813">
            <w:pPr>
              <w:rPr>
                <w:sz w:val="25"/>
                <w:szCs w:val="25"/>
              </w:rPr>
            </w:pPr>
            <w:r w:rsidRPr="00160A75">
              <w:rPr>
                <w:sz w:val="25"/>
                <w:szCs w:val="25"/>
              </w:rPr>
              <w:t xml:space="preserve">Объект территориально расположен в </w:t>
            </w:r>
            <w:r w:rsidR="00D76495">
              <w:rPr>
                <w:sz w:val="25"/>
                <w:szCs w:val="25"/>
              </w:rPr>
              <w:t>Восточном</w:t>
            </w:r>
            <w:r w:rsidRPr="00160A75">
              <w:rPr>
                <w:sz w:val="25"/>
                <w:szCs w:val="25"/>
              </w:rPr>
              <w:t xml:space="preserve"> административном округе </w:t>
            </w:r>
            <w:proofErr w:type="spellStart"/>
            <w:r w:rsidRPr="00160A75">
              <w:rPr>
                <w:sz w:val="25"/>
                <w:szCs w:val="25"/>
              </w:rPr>
              <w:t>г</w:t>
            </w:r>
            <w:proofErr w:type="gramStart"/>
            <w:r w:rsidRPr="00160A75">
              <w:rPr>
                <w:sz w:val="25"/>
                <w:szCs w:val="25"/>
              </w:rPr>
              <w:t>.Т</w:t>
            </w:r>
            <w:proofErr w:type="gramEnd"/>
            <w:r w:rsidRPr="00160A75">
              <w:rPr>
                <w:sz w:val="25"/>
                <w:szCs w:val="25"/>
              </w:rPr>
              <w:t>юмени</w:t>
            </w:r>
            <w:proofErr w:type="spellEnd"/>
            <w:r w:rsidRPr="00160A75">
              <w:rPr>
                <w:sz w:val="25"/>
                <w:szCs w:val="25"/>
              </w:rPr>
              <w:t xml:space="preserve"> </w:t>
            </w:r>
            <w:r w:rsidR="00D76495">
              <w:rPr>
                <w:sz w:val="25"/>
                <w:szCs w:val="25"/>
              </w:rPr>
              <w:t xml:space="preserve">по </w:t>
            </w:r>
            <w:proofErr w:type="spellStart"/>
            <w:r w:rsidR="00D76495">
              <w:rPr>
                <w:sz w:val="25"/>
                <w:szCs w:val="25"/>
              </w:rPr>
              <w:t>ул.Энергостроителей</w:t>
            </w:r>
            <w:proofErr w:type="spellEnd"/>
            <w:r w:rsidR="00D76495">
              <w:rPr>
                <w:sz w:val="25"/>
                <w:szCs w:val="25"/>
              </w:rPr>
              <w:t xml:space="preserve"> 6/1</w:t>
            </w:r>
            <w:r w:rsidRPr="00160A75">
              <w:rPr>
                <w:sz w:val="25"/>
                <w:szCs w:val="25"/>
              </w:rPr>
              <w:t xml:space="preserve"> и представляет собой согласно проекту </w:t>
            </w:r>
            <w:r w:rsidR="00D76495">
              <w:rPr>
                <w:sz w:val="25"/>
                <w:szCs w:val="25"/>
              </w:rPr>
              <w:t>три</w:t>
            </w:r>
            <w:r w:rsidRPr="00160A75">
              <w:rPr>
                <w:sz w:val="25"/>
                <w:szCs w:val="25"/>
              </w:rPr>
              <w:t xml:space="preserve"> 16-этажн</w:t>
            </w:r>
            <w:r w:rsidR="00DA7F4A">
              <w:rPr>
                <w:sz w:val="25"/>
                <w:szCs w:val="25"/>
              </w:rPr>
              <w:t>ые</w:t>
            </w:r>
            <w:r w:rsidRPr="00160A75">
              <w:rPr>
                <w:sz w:val="25"/>
                <w:szCs w:val="25"/>
              </w:rPr>
              <w:t xml:space="preserve"> блок-секци</w:t>
            </w:r>
            <w:r w:rsidR="00DA7F4A">
              <w:rPr>
                <w:sz w:val="25"/>
                <w:szCs w:val="25"/>
              </w:rPr>
              <w:t>и</w:t>
            </w:r>
            <w:r w:rsidRPr="00160A75">
              <w:rPr>
                <w:sz w:val="25"/>
                <w:szCs w:val="25"/>
              </w:rPr>
              <w:t xml:space="preserve">, кроме того – </w:t>
            </w:r>
            <w:proofErr w:type="spellStart"/>
            <w:r w:rsidR="00D76495">
              <w:rPr>
                <w:sz w:val="25"/>
                <w:szCs w:val="25"/>
              </w:rPr>
              <w:t>тех.подполье</w:t>
            </w:r>
            <w:proofErr w:type="spellEnd"/>
            <w:r w:rsidR="00D76495">
              <w:rPr>
                <w:sz w:val="25"/>
                <w:szCs w:val="25"/>
              </w:rPr>
              <w:t xml:space="preserve"> и чердак.</w:t>
            </w:r>
            <w:r>
              <w:rPr>
                <w:sz w:val="25"/>
                <w:szCs w:val="25"/>
              </w:rPr>
              <w:t xml:space="preserve"> </w:t>
            </w:r>
            <w:r w:rsidRPr="00096957">
              <w:rPr>
                <w:sz w:val="25"/>
                <w:szCs w:val="25"/>
              </w:rPr>
              <w:t xml:space="preserve">Нежилые помещения запроектированы на первом этаже </w:t>
            </w:r>
            <w:r w:rsidR="00D76495">
              <w:rPr>
                <w:sz w:val="25"/>
                <w:szCs w:val="25"/>
              </w:rPr>
              <w:t>2 секции</w:t>
            </w:r>
            <w:r w:rsidRPr="00096957">
              <w:rPr>
                <w:sz w:val="25"/>
                <w:szCs w:val="25"/>
              </w:rPr>
              <w:t>.</w:t>
            </w:r>
            <w:r w:rsidRPr="00160A75">
              <w:rPr>
                <w:sz w:val="25"/>
                <w:szCs w:val="25"/>
              </w:rPr>
              <w:t xml:space="preserve"> </w:t>
            </w:r>
          </w:p>
          <w:p w:rsidR="001B783F" w:rsidRPr="00160A75" w:rsidRDefault="001B783F" w:rsidP="00F36813">
            <w:pPr>
              <w:rPr>
                <w:color w:val="FF0000"/>
                <w:sz w:val="25"/>
                <w:szCs w:val="25"/>
              </w:rPr>
            </w:pPr>
            <w:r w:rsidRPr="00160A75">
              <w:rPr>
                <w:sz w:val="25"/>
                <w:szCs w:val="25"/>
              </w:rPr>
              <w:t xml:space="preserve">Общая площадь здания – </w:t>
            </w:r>
            <w:r w:rsidR="00D76495">
              <w:rPr>
                <w:sz w:val="25"/>
                <w:szCs w:val="25"/>
              </w:rPr>
              <w:t>24092</w:t>
            </w:r>
            <w:r w:rsidRPr="00160A75">
              <w:rPr>
                <w:sz w:val="25"/>
                <w:szCs w:val="25"/>
              </w:rPr>
              <w:t xml:space="preserve"> </w:t>
            </w:r>
            <w:proofErr w:type="spellStart"/>
            <w:r w:rsidRPr="00160A75">
              <w:rPr>
                <w:sz w:val="25"/>
                <w:szCs w:val="25"/>
              </w:rPr>
              <w:t>кв.м</w:t>
            </w:r>
            <w:proofErr w:type="spellEnd"/>
            <w:r w:rsidRPr="00160A75">
              <w:rPr>
                <w:sz w:val="25"/>
                <w:szCs w:val="25"/>
              </w:rPr>
              <w:t xml:space="preserve">., общая площадь </w:t>
            </w:r>
            <w:r w:rsidR="007C7B40">
              <w:rPr>
                <w:sz w:val="25"/>
                <w:szCs w:val="25"/>
              </w:rPr>
              <w:t>встроенных помещений</w:t>
            </w:r>
            <w:r w:rsidRPr="00160A75">
              <w:rPr>
                <w:sz w:val="25"/>
                <w:szCs w:val="25"/>
              </w:rPr>
              <w:t xml:space="preserve"> – </w:t>
            </w:r>
            <w:r w:rsidR="00DA7F4A">
              <w:rPr>
                <w:sz w:val="25"/>
                <w:szCs w:val="25"/>
              </w:rPr>
              <w:t>29</w:t>
            </w:r>
            <w:r w:rsidR="007C7B40">
              <w:rPr>
                <w:sz w:val="25"/>
                <w:szCs w:val="25"/>
              </w:rPr>
              <w:t>4</w:t>
            </w:r>
            <w:r w:rsidR="00DA7F4A">
              <w:rPr>
                <w:sz w:val="25"/>
                <w:szCs w:val="25"/>
              </w:rPr>
              <w:t>,</w:t>
            </w:r>
            <w:r w:rsidR="007C7B40">
              <w:rPr>
                <w:sz w:val="25"/>
                <w:szCs w:val="25"/>
              </w:rPr>
              <w:t>8</w:t>
            </w:r>
            <w:r w:rsidRPr="00160A75">
              <w:rPr>
                <w:sz w:val="25"/>
                <w:szCs w:val="25"/>
              </w:rPr>
              <w:t xml:space="preserve"> </w:t>
            </w:r>
            <w:proofErr w:type="spellStart"/>
            <w:r w:rsidRPr="00160A75">
              <w:rPr>
                <w:sz w:val="25"/>
                <w:szCs w:val="25"/>
              </w:rPr>
              <w:t>кв</w:t>
            </w:r>
            <w:proofErr w:type="gramStart"/>
            <w:r w:rsidRPr="00160A75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160A75">
              <w:rPr>
                <w:sz w:val="25"/>
                <w:szCs w:val="25"/>
              </w:rPr>
              <w:t>,</w:t>
            </w:r>
            <w:r w:rsidR="00DA7F4A">
              <w:rPr>
                <w:sz w:val="25"/>
                <w:szCs w:val="25"/>
              </w:rPr>
              <w:t xml:space="preserve"> </w:t>
            </w:r>
            <w:r w:rsidR="007C7B40">
              <w:rPr>
                <w:sz w:val="25"/>
                <w:szCs w:val="25"/>
              </w:rPr>
              <w:t xml:space="preserve">в </w:t>
            </w:r>
            <w:proofErr w:type="spellStart"/>
            <w:r w:rsidR="007C7B40">
              <w:rPr>
                <w:sz w:val="25"/>
                <w:szCs w:val="25"/>
              </w:rPr>
              <w:t>т.ч</w:t>
            </w:r>
            <w:proofErr w:type="spellEnd"/>
            <w:r w:rsidR="007C7B40">
              <w:rPr>
                <w:sz w:val="25"/>
                <w:szCs w:val="25"/>
              </w:rPr>
              <w:t xml:space="preserve">. салон продаж 110,3 </w:t>
            </w:r>
            <w:proofErr w:type="spellStart"/>
            <w:r w:rsidR="007C7B40">
              <w:rPr>
                <w:sz w:val="25"/>
                <w:szCs w:val="25"/>
              </w:rPr>
              <w:t>кв.м</w:t>
            </w:r>
            <w:proofErr w:type="spellEnd"/>
            <w:r w:rsidR="007C7B40">
              <w:rPr>
                <w:sz w:val="25"/>
                <w:szCs w:val="25"/>
              </w:rPr>
              <w:t>.</w:t>
            </w:r>
            <w:r w:rsidR="00DA7F4A">
              <w:rPr>
                <w:sz w:val="25"/>
                <w:szCs w:val="25"/>
              </w:rPr>
              <w:t>,</w:t>
            </w:r>
            <w:r w:rsidR="007C7B40">
              <w:rPr>
                <w:sz w:val="25"/>
                <w:szCs w:val="25"/>
              </w:rPr>
              <w:t xml:space="preserve"> нотариальная контора 87 </w:t>
            </w:r>
            <w:proofErr w:type="spellStart"/>
            <w:r w:rsidR="007C7B40">
              <w:rPr>
                <w:sz w:val="25"/>
                <w:szCs w:val="25"/>
              </w:rPr>
              <w:t>кв.м</w:t>
            </w:r>
            <w:proofErr w:type="spellEnd"/>
            <w:r w:rsidR="007C7B40">
              <w:rPr>
                <w:sz w:val="25"/>
                <w:szCs w:val="25"/>
              </w:rPr>
              <w:t xml:space="preserve">., юридическая консультация 97,5 </w:t>
            </w:r>
            <w:proofErr w:type="spellStart"/>
            <w:r w:rsidR="007C7B40">
              <w:rPr>
                <w:sz w:val="25"/>
                <w:szCs w:val="25"/>
              </w:rPr>
              <w:t>кв.м</w:t>
            </w:r>
            <w:proofErr w:type="spellEnd"/>
            <w:r w:rsidR="007C7B40">
              <w:rPr>
                <w:sz w:val="25"/>
                <w:szCs w:val="25"/>
              </w:rPr>
              <w:t>.</w:t>
            </w:r>
            <w:r w:rsidRPr="00160A75">
              <w:rPr>
                <w:sz w:val="25"/>
                <w:szCs w:val="25"/>
              </w:rPr>
              <w:t xml:space="preserve"> строительный объем – </w:t>
            </w:r>
            <w:r w:rsidR="007C7B40">
              <w:rPr>
                <w:sz w:val="25"/>
                <w:szCs w:val="25"/>
              </w:rPr>
              <w:t>88500,6</w:t>
            </w:r>
            <w:r w:rsidRPr="00160A75">
              <w:rPr>
                <w:sz w:val="25"/>
                <w:szCs w:val="25"/>
              </w:rPr>
              <w:t xml:space="preserve"> </w:t>
            </w:r>
            <w:proofErr w:type="spellStart"/>
            <w:r w:rsidRPr="00160A75">
              <w:rPr>
                <w:sz w:val="25"/>
                <w:szCs w:val="25"/>
              </w:rPr>
              <w:t>куб.м</w:t>
            </w:r>
            <w:proofErr w:type="spellEnd"/>
            <w:r w:rsidRPr="00160A75">
              <w:rPr>
                <w:sz w:val="25"/>
                <w:szCs w:val="25"/>
              </w:rPr>
              <w:t xml:space="preserve">., в том числе ниже </w:t>
            </w:r>
            <w:proofErr w:type="spellStart"/>
            <w:r w:rsidRPr="00160A75">
              <w:rPr>
                <w:sz w:val="25"/>
                <w:szCs w:val="25"/>
              </w:rPr>
              <w:t>отм</w:t>
            </w:r>
            <w:proofErr w:type="spellEnd"/>
            <w:r w:rsidRPr="00160A75">
              <w:rPr>
                <w:sz w:val="25"/>
                <w:szCs w:val="25"/>
              </w:rPr>
              <w:t xml:space="preserve">. 0.000 – </w:t>
            </w:r>
            <w:r w:rsidR="007C7B40">
              <w:rPr>
                <w:sz w:val="25"/>
                <w:szCs w:val="25"/>
              </w:rPr>
              <w:t>4440,2</w:t>
            </w:r>
            <w:r w:rsidRPr="00160A75">
              <w:rPr>
                <w:sz w:val="25"/>
                <w:szCs w:val="25"/>
              </w:rPr>
              <w:t xml:space="preserve"> </w:t>
            </w:r>
            <w:proofErr w:type="spellStart"/>
            <w:r w:rsidRPr="00160A75">
              <w:rPr>
                <w:sz w:val="25"/>
                <w:szCs w:val="25"/>
              </w:rPr>
              <w:t>куб.м</w:t>
            </w:r>
            <w:proofErr w:type="spellEnd"/>
            <w:r w:rsidRPr="00160A75">
              <w:rPr>
                <w:sz w:val="25"/>
                <w:szCs w:val="25"/>
              </w:rPr>
              <w:t xml:space="preserve">., </w:t>
            </w:r>
            <w:r w:rsidR="007C7B40">
              <w:rPr>
                <w:sz w:val="25"/>
                <w:szCs w:val="25"/>
              </w:rPr>
              <w:t xml:space="preserve">С </w:t>
            </w:r>
            <w:r w:rsidRPr="00160A75">
              <w:rPr>
                <w:sz w:val="25"/>
                <w:szCs w:val="25"/>
              </w:rPr>
              <w:t>инженерны</w:t>
            </w:r>
            <w:r w:rsidR="007C7B40">
              <w:rPr>
                <w:sz w:val="25"/>
                <w:szCs w:val="25"/>
              </w:rPr>
              <w:t>ми</w:t>
            </w:r>
            <w:r w:rsidRPr="00160A75">
              <w:rPr>
                <w:sz w:val="25"/>
                <w:szCs w:val="25"/>
              </w:rPr>
              <w:t xml:space="preserve"> </w:t>
            </w:r>
            <w:r w:rsidR="007C7B40">
              <w:rPr>
                <w:sz w:val="25"/>
                <w:szCs w:val="25"/>
              </w:rPr>
              <w:t>сетями</w:t>
            </w:r>
            <w:r w:rsidRPr="00160A75">
              <w:rPr>
                <w:color w:val="FF0000"/>
                <w:sz w:val="25"/>
                <w:szCs w:val="25"/>
              </w:rPr>
              <w:t>.</w:t>
            </w:r>
          </w:p>
          <w:p w:rsidR="001B783F" w:rsidRPr="0078498F" w:rsidRDefault="007C7B40" w:rsidP="00F3681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 каждой секции</w:t>
            </w:r>
            <w:r w:rsidR="001B783F" w:rsidRPr="00096957">
              <w:rPr>
                <w:color w:val="000000"/>
                <w:sz w:val="25"/>
                <w:szCs w:val="25"/>
              </w:rPr>
              <w:t xml:space="preserve"> имеются 2 лифта, один из которых грузопассажирский.</w:t>
            </w:r>
            <w:r w:rsidR="001B783F" w:rsidRPr="0078498F">
              <w:rPr>
                <w:color w:val="000000"/>
                <w:sz w:val="25"/>
                <w:szCs w:val="25"/>
              </w:rPr>
              <w:t xml:space="preserve"> </w:t>
            </w:r>
          </w:p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540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15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Показатели объекта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  <w:vAlign w:val="bottom"/>
          </w:tcPr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Количество квартир – </w:t>
            </w:r>
            <w:r w:rsidR="007C7B40">
              <w:rPr>
                <w:color w:val="000000"/>
                <w:sz w:val="25"/>
                <w:szCs w:val="25"/>
              </w:rPr>
              <w:t>2</w:t>
            </w:r>
            <w:r w:rsidR="00DA7F4A">
              <w:rPr>
                <w:color w:val="000000"/>
                <w:sz w:val="25"/>
                <w:szCs w:val="25"/>
              </w:rPr>
              <w:t>95</w:t>
            </w:r>
            <w:r w:rsidRPr="00F13A11">
              <w:rPr>
                <w:color w:val="000000"/>
                <w:sz w:val="25"/>
                <w:szCs w:val="25"/>
              </w:rPr>
              <w:t xml:space="preserve"> шт., в том числе 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1-комн. – </w:t>
            </w:r>
            <w:r w:rsidR="007C7B40">
              <w:rPr>
                <w:color w:val="000000"/>
                <w:sz w:val="25"/>
                <w:szCs w:val="25"/>
              </w:rPr>
              <w:t>201</w:t>
            </w:r>
            <w:r w:rsidRPr="00F13A11">
              <w:rPr>
                <w:color w:val="000000"/>
                <w:sz w:val="25"/>
                <w:szCs w:val="25"/>
              </w:rPr>
              <w:t xml:space="preserve"> шт.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2-комн. – </w:t>
            </w:r>
            <w:r w:rsidR="007C7B40">
              <w:rPr>
                <w:color w:val="000000"/>
                <w:sz w:val="25"/>
                <w:szCs w:val="25"/>
              </w:rPr>
              <w:t>62</w:t>
            </w:r>
            <w:r w:rsidRPr="00F13A11">
              <w:rPr>
                <w:color w:val="000000"/>
                <w:sz w:val="25"/>
                <w:szCs w:val="25"/>
              </w:rPr>
              <w:t xml:space="preserve"> шт.</w:t>
            </w:r>
          </w:p>
          <w:p w:rsidR="00096957" w:rsidRPr="00F13A11" w:rsidRDefault="00096957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3-комн. -  </w:t>
            </w:r>
            <w:r w:rsidR="007C7B40">
              <w:rPr>
                <w:color w:val="000000"/>
                <w:sz w:val="25"/>
                <w:szCs w:val="25"/>
              </w:rPr>
              <w:t>32</w:t>
            </w:r>
            <w:r w:rsidRPr="00F13A11">
              <w:rPr>
                <w:color w:val="000000"/>
                <w:sz w:val="25"/>
                <w:szCs w:val="25"/>
              </w:rPr>
              <w:t xml:space="preserve"> шт.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Общая площадь квартир – </w:t>
            </w:r>
            <w:r w:rsidR="00182A82">
              <w:t>15 592,4</w:t>
            </w:r>
            <w:r w:rsidR="008C71A8">
              <w:t xml:space="preserve"> </w:t>
            </w:r>
            <w:proofErr w:type="spellStart"/>
            <w:r w:rsidRPr="00F13A11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F13A11">
              <w:rPr>
                <w:color w:val="000000"/>
                <w:sz w:val="25"/>
                <w:szCs w:val="25"/>
              </w:rPr>
              <w:t>.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Все квартиры рассчитаны на повышенный комфорт проживания и имеют необходимый состав помещений, включающий в себя раздельный или совмещённый санузел, прихожую, кухню, гостиную, лоджию. 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Количество нежилых помещений – </w:t>
            </w:r>
            <w:r w:rsidR="00182A82">
              <w:rPr>
                <w:color w:val="000000"/>
                <w:sz w:val="25"/>
                <w:szCs w:val="25"/>
              </w:rPr>
              <w:t>3</w:t>
            </w:r>
            <w:r w:rsidRPr="00F13A11">
              <w:rPr>
                <w:color w:val="000000"/>
                <w:sz w:val="25"/>
                <w:szCs w:val="25"/>
              </w:rPr>
              <w:t xml:space="preserve"> шт. 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Нежилые помещения расположены на </w:t>
            </w:r>
            <w:r w:rsidR="00182A82">
              <w:rPr>
                <w:color w:val="000000"/>
                <w:sz w:val="25"/>
                <w:szCs w:val="25"/>
              </w:rPr>
              <w:t xml:space="preserve">первом </w:t>
            </w:r>
            <w:r w:rsidRPr="00F13A11">
              <w:rPr>
                <w:color w:val="000000"/>
                <w:sz w:val="25"/>
                <w:szCs w:val="25"/>
              </w:rPr>
              <w:t>этаже</w:t>
            </w:r>
            <w:r w:rsidR="00182A82">
              <w:rPr>
                <w:color w:val="000000"/>
                <w:sz w:val="25"/>
                <w:szCs w:val="25"/>
              </w:rPr>
              <w:t xml:space="preserve"> 2 секции</w:t>
            </w:r>
            <w:r w:rsidRPr="00F13A11">
              <w:rPr>
                <w:color w:val="000000"/>
                <w:sz w:val="25"/>
                <w:szCs w:val="25"/>
              </w:rPr>
              <w:t xml:space="preserve">: площадь </w:t>
            </w:r>
            <w:r w:rsidR="00182A82">
              <w:rPr>
                <w:sz w:val="25"/>
                <w:szCs w:val="25"/>
              </w:rPr>
              <w:t xml:space="preserve"> салона продаж 110,3 </w:t>
            </w:r>
            <w:proofErr w:type="spellStart"/>
            <w:r w:rsidR="00182A82">
              <w:rPr>
                <w:sz w:val="25"/>
                <w:szCs w:val="25"/>
              </w:rPr>
              <w:t>кв.м</w:t>
            </w:r>
            <w:proofErr w:type="spellEnd"/>
            <w:r w:rsidR="00182A82">
              <w:rPr>
                <w:sz w:val="25"/>
                <w:szCs w:val="25"/>
              </w:rPr>
              <w:t xml:space="preserve">., нотариальной конторы 87 </w:t>
            </w:r>
            <w:proofErr w:type="spellStart"/>
            <w:r w:rsidR="00182A82">
              <w:rPr>
                <w:sz w:val="25"/>
                <w:szCs w:val="25"/>
              </w:rPr>
              <w:t>кв.м</w:t>
            </w:r>
            <w:proofErr w:type="spellEnd"/>
            <w:r w:rsidR="00182A82">
              <w:rPr>
                <w:sz w:val="25"/>
                <w:szCs w:val="25"/>
              </w:rPr>
              <w:t xml:space="preserve">., юридической консультации 97,5 </w:t>
            </w:r>
            <w:proofErr w:type="spellStart"/>
            <w:r w:rsidR="00182A82">
              <w:rPr>
                <w:sz w:val="25"/>
                <w:szCs w:val="25"/>
              </w:rPr>
              <w:t>кв</w:t>
            </w:r>
            <w:proofErr w:type="gramStart"/>
            <w:r w:rsidR="00182A82">
              <w:rPr>
                <w:sz w:val="25"/>
                <w:szCs w:val="25"/>
              </w:rPr>
              <w:t>.м</w:t>
            </w:r>
            <w:proofErr w:type="spellEnd"/>
            <w:proofErr w:type="gramEnd"/>
            <w:r w:rsidR="00182A82" w:rsidRPr="00F13A11">
              <w:rPr>
                <w:color w:val="000000"/>
                <w:sz w:val="25"/>
                <w:szCs w:val="25"/>
              </w:rPr>
              <w:t xml:space="preserve"> </w:t>
            </w:r>
            <w:r w:rsidRPr="00F13A11">
              <w:rPr>
                <w:color w:val="000000"/>
                <w:sz w:val="25"/>
                <w:szCs w:val="25"/>
              </w:rPr>
              <w:t xml:space="preserve">, 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  <w:r w:rsidRPr="00F13A11">
              <w:rPr>
                <w:color w:val="000000"/>
                <w:sz w:val="25"/>
                <w:szCs w:val="25"/>
              </w:rPr>
              <w:t xml:space="preserve">Общая площадь нежилых помещений – </w:t>
            </w:r>
            <w:r w:rsidR="00182A82">
              <w:rPr>
                <w:sz w:val="25"/>
                <w:szCs w:val="25"/>
              </w:rPr>
              <w:t>294,8</w:t>
            </w:r>
            <w:r w:rsidRPr="00F13A11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F13A11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F13A11">
              <w:rPr>
                <w:color w:val="000000"/>
                <w:sz w:val="25"/>
                <w:szCs w:val="25"/>
              </w:rPr>
              <w:t>.</w:t>
            </w:r>
          </w:p>
          <w:p w:rsidR="001B783F" w:rsidRPr="00F13A11" w:rsidRDefault="001B783F" w:rsidP="00B047B1">
            <w:pPr>
              <w:rPr>
                <w:color w:val="000000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540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16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Технические характеристики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  <w:vAlign w:val="bottom"/>
          </w:tcPr>
          <w:p w:rsidR="001B783F" w:rsidRPr="0078498F" w:rsidRDefault="001B783F" w:rsidP="00A043AD">
            <w:pPr>
              <w:rPr>
                <w:color w:val="000000"/>
                <w:sz w:val="25"/>
                <w:szCs w:val="25"/>
              </w:rPr>
            </w:pPr>
            <w:r w:rsidRPr="0046402D">
              <w:rPr>
                <w:color w:val="000000"/>
                <w:sz w:val="25"/>
                <w:szCs w:val="25"/>
              </w:rPr>
              <w:lastRenderedPageBreak/>
              <w:t xml:space="preserve">Конструкции объекта разработаны для условий отапливаемого здания. Фундамент – </w:t>
            </w:r>
            <w:r w:rsidR="00182A82">
              <w:rPr>
                <w:color w:val="000000"/>
                <w:sz w:val="25"/>
                <w:szCs w:val="25"/>
              </w:rPr>
              <w:t>монолитная железобетонная фундаментная плита на свайном основании</w:t>
            </w:r>
            <w:r w:rsidRPr="0046402D">
              <w:rPr>
                <w:color w:val="000000"/>
                <w:sz w:val="25"/>
                <w:szCs w:val="25"/>
              </w:rPr>
              <w:t>. Стены наружные –</w:t>
            </w:r>
            <w:r w:rsidR="00CB3615" w:rsidRPr="0046402D">
              <w:rPr>
                <w:color w:val="000000"/>
                <w:sz w:val="25"/>
                <w:szCs w:val="25"/>
              </w:rPr>
              <w:t xml:space="preserve"> с 1 по 5 этаж</w:t>
            </w:r>
            <w:r w:rsidRPr="0046402D">
              <w:rPr>
                <w:color w:val="000000"/>
                <w:sz w:val="25"/>
                <w:szCs w:val="25"/>
              </w:rPr>
              <w:t xml:space="preserve"> </w:t>
            </w:r>
            <w:r w:rsidR="00484227" w:rsidRPr="0046402D">
              <w:rPr>
                <w:color w:val="000000"/>
                <w:sz w:val="25"/>
                <w:szCs w:val="25"/>
              </w:rPr>
              <w:t>силикатный</w:t>
            </w:r>
            <w:r w:rsidRPr="0046402D">
              <w:rPr>
                <w:color w:val="000000"/>
                <w:sz w:val="25"/>
                <w:szCs w:val="25"/>
              </w:rPr>
              <w:t xml:space="preserve"> п</w:t>
            </w:r>
            <w:r w:rsidR="00CB3615" w:rsidRPr="0046402D">
              <w:rPr>
                <w:color w:val="000000"/>
                <w:sz w:val="25"/>
                <w:szCs w:val="25"/>
              </w:rPr>
              <w:t>олнотелый утолщенный</w:t>
            </w:r>
            <w:r w:rsidRPr="0046402D">
              <w:rPr>
                <w:color w:val="000000"/>
                <w:sz w:val="25"/>
                <w:szCs w:val="25"/>
              </w:rPr>
              <w:t xml:space="preserve"> кирпич</w:t>
            </w:r>
            <w:r w:rsidR="00CB3615" w:rsidRPr="0046402D">
              <w:rPr>
                <w:color w:val="000000"/>
                <w:sz w:val="25"/>
                <w:szCs w:val="25"/>
              </w:rPr>
              <w:t xml:space="preserve">, с 6 по 16 кирпич </w:t>
            </w:r>
            <w:r w:rsidR="00CB3615" w:rsidRPr="0046402D">
              <w:rPr>
                <w:color w:val="000000"/>
                <w:sz w:val="25"/>
                <w:szCs w:val="25"/>
              </w:rPr>
              <w:lastRenderedPageBreak/>
              <w:t>силикатный пустотелый утолщенный</w:t>
            </w:r>
            <w:r w:rsidR="00CB3615" w:rsidRPr="0046402D">
              <w:rPr>
                <w:vanish/>
                <w:color w:val="000000"/>
                <w:sz w:val="25"/>
                <w:szCs w:val="25"/>
              </w:rPr>
              <w:t>.олщенный. артирных домой и иных объектов недвижимости и о внесении изменений в некоторые законод</w:t>
            </w:r>
            <w:r w:rsidRPr="0046402D">
              <w:rPr>
                <w:color w:val="000000"/>
                <w:sz w:val="25"/>
                <w:szCs w:val="25"/>
              </w:rPr>
              <w:t xml:space="preserve">. Облицовка – кирпич </w:t>
            </w:r>
            <w:r w:rsidR="00CB3615" w:rsidRPr="0046402D">
              <w:rPr>
                <w:color w:val="000000"/>
                <w:sz w:val="25"/>
                <w:szCs w:val="25"/>
              </w:rPr>
              <w:t>силикатный пустотелый утолщенный</w:t>
            </w:r>
            <w:r w:rsidRPr="0046402D">
              <w:rPr>
                <w:color w:val="000000"/>
                <w:sz w:val="25"/>
                <w:szCs w:val="25"/>
              </w:rPr>
              <w:t xml:space="preserve"> лицевой. В качестве утеплителя приняты плиты </w:t>
            </w:r>
            <w:proofErr w:type="spellStart"/>
            <w:r w:rsidR="008955AA">
              <w:rPr>
                <w:color w:val="000000"/>
                <w:sz w:val="25"/>
                <w:szCs w:val="25"/>
              </w:rPr>
              <w:t>Технониколь</w:t>
            </w:r>
            <w:proofErr w:type="spellEnd"/>
            <w:r w:rsidR="008955AA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8955AA">
              <w:rPr>
                <w:color w:val="000000"/>
                <w:sz w:val="25"/>
                <w:szCs w:val="25"/>
              </w:rPr>
              <w:t>Техноблок</w:t>
            </w:r>
            <w:proofErr w:type="spellEnd"/>
            <w:r w:rsidR="008955AA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8955AA">
              <w:rPr>
                <w:color w:val="000000"/>
                <w:sz w:val="25"/>
                <w:szCs w:val="25"/>
              </w:rPr>
              <w:t>Проф</w:t>
            </w:r>
            <w:proofErr w:type="spellEnd"/>
            <w:proofErr w:type="gramEnd"/>
            <w:r w:rsidRPr="0046402D">
              <w:rPr>
                <w:color w:val="000000"/>
                <w:sz w:val="25"/>
                <w:szCs w:val="25"/>
              </w:rPr>
              <w:t xml:space="preserve"> толщиной </w:t>
            </w:r>
            <w:r w:rsidR="008955AA">
              <w:rPr>
                <w:color w:val="000000"/>
                <w:sz w:val="25"/>
                <w:szCs w:val="25"/>
              </w:rPr>
              <w:t>6</w:t>
            </w:r>
            <w:r w:rsidRPr="0046402D">
              <w:rPr>
                <w:color w:val="000000"/>
                <w:sz w:val="25"/>
                <w:szCs w:val="25"/>
              </w:rPr>
              <w:t>0мм. Внутренние стены</w:t>
            </w:r>
            <w:r w:rsidR="0046402D" w:rsidRPr="0046402D">
              <w:rPr>
                <w:color w:val="000000"/>
                <w:sz w:val="25"/>
                <w:szCs w:val="25"/>
              </w:rPr>
              <w:t>:</w:t>
            </w:r>
            <w:r w:rsidRPr="0046402D">
              <w:rPr>
                <w:color w:val="000000"/>
                <w:sz w:val="25"/>
                <w:szCs w:val="25"/>
              </w:rPr>
              <w:t xml:space="preserve"> </w:t>
            </w:r>
            <w:r w:rsidR="0046402D" w:rsidRPr="0046402D">
              <w:rPr>
                <w:color w:val="000000"/>
                <w:sz w:val="25"/>
                <w:szCs w:val="25"/>
              </w:rPr>
              <w:t xml:space="preserve"> с 1 по 5 этаж силикатный полнотелый кирпич, с 6 по 16 кирпич силикатный пустотелый утолщенный</w:t>
            </w:r>
            <w:r w:rsidR="0046402D" w:rsidRPr="0046402D">
              <w:rPr>
                <w:vanish/>
                <w:color w:val="000000"/>
                <w:sz w:val="25"/>
                <w:szCs w:val="25"/>
              </w:rPr>
              <w:t>.олщенный. артирных домой и иных объектов недвижимости и о внесении изменений в некоторые законод</w:t>
            </w:r>
            <w:r w:rsidR="0046402D" w:rsidRPr="0046402D">
              <w:rPr>
                <w:color w:val="000000"/>
                <w:sz w:val="25"/>
                <w:szCs w:val="25"/>
              </w:rPr>
              <w:t>.</w:t>
            </w:r>
            <w:proofErr w:type="gramStart"/>
            <w:r w:rsidR="0046402D" w:rsidRPr="0046402D">
              <w:rPr>
                <w:color w:val="000000"/>
                <w:sz w:val="25"/>
                <w:szCs w:val="25"/>
              </w:rPr>
              <w:t xml:space="preserve"> </w:t>
            </w:r>
            <w:r w:rsidRPr="0046402D">
              <w:rPr>
                <w:color w:val="000000"/>
                <w:sz w:val="25"/>
                <w:szCs w:val="25"/>
              </w:rPr>
              <w:t>,</w:t>
            </w:r>
            <w:proofErr w:type="gramEnd"/>
            <w:r w:rsidRPr="0046402D">
              <w:rPr>
                <w:color w:val="000000"/>
                <w:sz w:val="25"/>
                <w:szCs w:val="25"/>
              </w:rPr>
              <w:t xml:space="preserve"> перегородки из кирпича </w:t>
            </w:r>
            <w:r w:rsidR="0046402D" w:rsidRPr="0046402D">
              <w:rPr>
                <w:color w:val="000000"/>
                <w:sz w:val="25"/>
                <w:szCs w:val="25"/>
              </w:rPr>
              <w:t>силикатного пустотелого</w:t>
            </w:r>
            <w:r w:rsidRPr="0046402D">
              <w:rPr>
                <w:color w:val="000000"/>
                <w:sz w:val="25"/>
                <w:szCs w:val="25"/>
              </w:rPr>
              <w:t xml:space="preserve">  марки </w:t>
            </w:r>
            <w:r w:rsidR="0046402D" w:rsidRPr="0046402D">
              <w:rPr>
                <w:color w:val="000000"/>
                <w:sz w:val="25"/>
                <w:szCs w:val="25"/>
              </w:rPr>
              <w:t>СУР 125/25</w:t>
            </w:r>
            <w:r w:rsidRPr="0046402D">
              <w:rPr>
                <w:color w:val="000000"/>
                <w:sz w:val="25"/>
                <w:szCs w:val="25"/>
              </w:rPr>
              <w:t>. Лестницы – сборные железобетонные. Перекрытия – сборные желе</w:t>
            </w:r>
            <w:r w:rsidR="0046402D" w:rsidRPr="0046402D">
              <w:rPr>
                <w:color w:val="000000"/>
                <w:sz w:val="25"/>
                <w:szCs w:val="25"/>
              </w:rPr>
              <w:t>зобетонные.  Окна – пластиковые</w:t>
            </w:r>
            <w:r w:rsidRPr="0046402D">
              <w:rPr>
                <w:color w:val="000000"/>
                <w:sz w:val="25"/>
                <w:szCs w:val="25"/>
              </w:rPr>
              <w:t>. Крыша – совмещенная с внутренним водостоком.</w:t>
            </w:r>
            <w:r w:rsidRPr="0078498F">
              <w:rPr>
                <w:color w:val="000000"/>
                <w:sz w:val="25"/>
                <w:szCs w:val="25"/>
              </w:rPr>
              <w:t xml:space="preserve"> </w:t>
            </w:r>
          </w:p>
          <w:p w:rsidR="001B783F" w:rsidRPr="0078498F" w:rsidRDefault="001B783F" w:rsidP="00A043AD">
            <w:pPr>
              <w:rPr>
                <w:color w:val="000000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540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Состав общего имущества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  <w:vAlign w:val="bottom"/>
          </w:tcPr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Межквартирные лестничные площадки, лестницы.</w:t>
            </w:r>
          </w:p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Лифты, лифтовые и иные шахты</w:t>
            </w:r>
          </w:p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Коридоры, технические этажи, чердаки и подвалы, в которых имеются инженерные коммуникации, иное обслуживающее более одного помещения в доме оборудование (технические подвалы).</w:t>
            </w:r>
          </w:p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Крыши.</w:t>
            </w:r>
          </w:p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Ограждающие несущие и ненесущие конструкции дома.</w:t>
            </w:r>
          </w:p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      </w:r>
          </w:p>
          <w:p w:rsidR="001B783F" w:rsidRPr="0078498F" w:rsidRDefault="001B783F" w:rsidP="00B047B1">
            <w:pPr>
              <w:numPr>
                <w:ilvl w:val="0"/>
                <w:numId w:val="1"/>
              </w:numPr>
              <w:jc w:val="both"/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Земельный участок, на котором будет расположен дом, с элементами озеленения и благоустройства.</w:t>
            </w:r>
          </w:p>
          <w:p w:rsidR="001B783F" w:rsidRPr="0078498F" w:rsidRDefault="001B783F" w:rsidP="00B047B1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1366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18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Предполагаемый срок получения разрешения на ввод в эксплуатацию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Организации, представители которых будут участвовать в приёмке объекта</w:t>
            </w:r>
          </w:p>
        </w:tc>
        <w:tc>
          <w:tcPr>
            <w:tcW w:w="6369" w:type="dxa"/>
          </w:tcPr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 xml:space="preserve">Предполагаемый срок получения разрешения на ввод в эксплуатацию </w:t>
            </w:r>
            <w:r w:rsidR="008955AA">
              <w:rPr>
                <w:color w:val="000000"/>
                <w:sz w:val="25"/>
                <w:szCs w:val="25"/>
              </w:rPr>
              <w:t>не позднее 1 квартала</w:t>
            </w:r>
            <w:r w:rsidRPr="0078498F">
              <w:rPr>
                <w:color w:val="000000"/>
                <w:sz w:val="25"/>
                <w:szCs w:val="25"/>
              </w:rPr>
              <w:t xml:space="preserve"> 201</w:t>
            </w:r>
            <w:r w:rsidR="008955AA">
              <w:rPr>
                <w:color w:val="000000"/>
                <w:sz w:val="25"/>
                <w:szCs w:val="25"/>
              </w:rPr>
              <w:t>8</w:t>
            </w:r>
            <w:r w:rsidRPr="0078498F">
              <w:rPr>
                <w:color w:val="000000"/>
                <w:sz w:val="25"/>
                <w:szCs w:val="25"/>
              </w:rPr>
              <w:t xml:space="preserve"> года</w:t>
            </w:r>
          </w:p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 xml:space="preserve">Администрация города Тюмени </w:t>
            </w:r>
          </w:p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1626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19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1B783F" w:rsidP="00F36813">
            <w:pPr>
              <w:pStyle w:val="2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8498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Вероятность финансовых и иных рисков при осуществлении проекта строительства невелика, так как финансовое положение ООО «Солнечный город» является стабильным. </w:t>
            </w:r>
          </w:p>
          <w:p w:rsidR="001B783F" w:rsidRPr="0078498F" w:rsidRDefault="001B783F" w:rsidP="00F36813">
            <w:pPr>
              <w:pStyle w:val="2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8498F">
              <w:rPr>
                <w:rFonts w:ascii="Times New Roman" w:hAnsi="Times New Roman"/>
                <w:color w:val="000000"/>
                <w:sz w:val="25"/>
                <w:szCs w:val="25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рисков при осуществлении строительства объекта не производится.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765"/>
        </w:trPr>
        <w:tc>
          <w:tcPr>
            <w:tcW w:w="468" w:type="dxa"/>
          </w:tcPr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3963" w:type="dxa"/>
          </w:tcPr>
          <w:p w:rsidR="001B783F" w:rsidRPr="0078498F" w:rsidRDefault="001B783F" w:rsidP="00A043AD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Планируемая стоимость строительства</w:t>
            </w:r>
          </w:p>
          <w:p w:rsidR="001B783F" w:rsidRPr="0078498F" w:rsidRDefault="001B783F" w:rsidP="00A043AD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0C53CA" w:rsidP="00A043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500 000 000</w:t>
            </w:r>
            <w:bookmarkStart w:id="0" w:name="_GoBack"/>
            <w:bookmarkEnd w:id="0"/>
            <w:r w:rsidR="001B783F" w:rsidRPr="00EA747F">
              <w:rPr>
                <w:sz w:val="25"/>
                <w:szCs w:val="25"/>
              </w:rPr>
              <w:t xml:space="preserve"> рублей</w:t>
            </w:r>
          </w:p>
        </w:tc>
      </w:tr>
      <w:tr w:rsidR="001B783F" w:rsidRPr="0078498F" w:rsidTr="00B0639D">
        <w:trPr>
          <w:trHeight w:val="765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21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Организации, осуществляющие основные строительно-монтажные и другие работы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Проектная организация – ЗАО «Проектировщик»</w:t>
            </w:r>
          </w:p>
          <w:p w:rsidR="001B783F" w:rsidRPr="0078498F" w:rsidRDefault="001B783F" w:rsidP="00F36813">
            <w:pPr>
              <w:rPr>
                <w:color w:val="000000"/>
                <w:sz w:val="25"/>
                <w:szCs w:val="25"/>
              </w:rPr>
            </w:pPr>
            <w:r w:rsidRPr="002C0DE1">
              <w:rPr>
                <w:color w:val="000000"/>
                <w:sz w:val="25"/>
                <w:szCs w:val="25"/>
              </w:rPr>
              <w:t xml:space="preserve">Генеральный подрядчик – </w:t>
            </w:r>
            <w:r w:rsidR="008C71A8" w:rsidRPr="002C0DE1">
              <w:rPr>
                <w:color w:val="000000"/>
                <w:sz w:val="25"/>
                <w:szCs w:val="25"/>
              </w:rPr>
              <w:t>ООО «</w:t>
            </w:r>
            <w:r w:rsidR="006A7F42">
              <w:rPr>
                <w:color w:val="000000"/>
                <w:sz w:val="25"/>
                <w:szCs w:val="25"/>
              </w:rPr>
              <w:t>Тюменьстройюг</w:t>
            </w:r>
            <w:r w:rsidRPr="002C0DE1">
              <w:rPr>
                <w:color w:val="000000"/>
                <w:sz w:val="25"/>
                <w:szCs w:val="25"/>
              </w:rPr>
              <w:t>»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color w:val="FF0000"/>
                <w:sz w:val="25"/>
                <w:szCs w:val="25"/>
              </w:rPr>
              <w:t xml:space="preserve"> 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765"/>
        </w:trPr>
        <w:tc>
          <w:tcPr>
            <w:tcW w:w="468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22</w:t>
            </w:r>
          </w:p>
        </w:tc>
        <w:tc>
          <w:tcPr>
            <w:tcW w:w="3963" w:type="dxa"/>
          </w:tcPr>
          <w:p w:rsidR="001B783F" w:rsidRPr="0078498F" w:rsidRDefault="001B783F" w:rsidP="00F3681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Способ обеспечения исполнения обязательств застройщика</w:t>
            </w: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  <w:p w:rsidR="001B783F" w:rsidRPr="0078498F" w:rsidRDefault="001B783F" w:rsidP="00F36813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Default="001B783F" w:rsidP="00F36813">
            <w:pPr>
              <w:rPr>
                <w:color w:val="000000"/>
                <w:sz w:val="25"/>
                <w:szCs w:val="25"/>
              </w:rPr>
            </w:pPr>
            <w:r w:rsidRPr="0078498F">
              <w:rPr>
                <w:color w:val="000000"/>
                <w:sz w:val="25"/>
                <w:szCs w:val="25"/>
              </w:rPr>
              <w:t>Залог в порядке, предусмотренном статьями 13 - 15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1B783F" w:rsidRPr="0078498F" w:rsidRDefault="001B783F" w:rsidP="006A7F42">
            <w:pPr>
              <w:rPr>
                <w:color w:val="0000FF"/>
                <w:sz w:val="25"/>
                <w:szCs w:val="25"/>
              </w:rPr>
            </w:pPr>
          </w:p>
        </w:tc>
      </w:tr>
      <w:tr w:rsidR="001B783F" w:rsidRPr="0078498F" w:rsidTr="00B0639D">
        <w:trPr>
          <w:trHeight w:val="765"/>
        </w:trPr>
        <w:tc>
          <w:tcPr>
            <w:tcW w:w="468" w:type="dxa"/>
            <w:vAlign w:val="center"/>
          </w:tcPr>
          <w:p w:rsidR="001B783F" w:rsidRPr="0078498F" w:rsidRDefault="001B783F" w:rsidP="00A6018B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23</w:t>
            </w:r>
          </w:p>
        </w:tc>
        <w:tc>
          <w:tcPr>
            <w:tcW w:w="3963" w:type="dxa"/>
            <w:vAlign w:val="bottom"/>
          </w:tcPr>
          <w:p w:rsidR="001B783F" w:rsidRPr="0078498F" w:rsidRDefault="001B783F" w:rsidP="00755FE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Иные договоры и сделки, на основании которых привлекаются денежные средства для строительства (за исключением договоров долевого участия)</w:t>
            </w:r>
          </w:p>
          <w:p w:rsidR="001B783F" w:rsidRPr="0078498F" w:rsidRDefault="001B783F" w:rsidP="00755FE3">
            <w:pPr>
              <w:rPr>
                <w:sz w:val="25"/>
                <w:szCs w:val="25"/>
              </w:rPr>
            </w:pPr>
          </w:p>
          <w:p w:rsidR="001B783F" w:rsidRPr="0078498F" w:rsidRDefault="001B783F" w:rsidP="00755FE3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Структура финансирования по объекту</w:t>
            </w:r>
          </w:p>
          <w:p w:rsidR="001B783F" w:rsidRPr="0078498F" w:rsidRDefault="001B783F" w:rsidP="00B047B1">
            <w:pPr>
              <w:rPr>
                <w:sz w:val="25"/>
                <w:szCs w:val="25"/>
              </w:rPr>
            </w:pPr>
          </w:p>
        </w:tc>
        <w:tc>
          <w:tcPr>
            <w:tcW w:w="6369" w:type="dxa"/>
          </w:tcPr>
          <w:p w:rsidR="001B783F" w:rsidRPr="0078498F" w:rsidRDefault="001B783F" w:rsidP="00DE24CC">
            <w:pPr>
              <w:rPr>
                <w:sz w:val="25"/>
                <w:szCs w:val="25"/>
              </w:rPr>
            </w:pPr>
            <w:r w:rsidRPr="0078498F">
              <w:rPr>
                <w:sz w:val="25"/>
                <w:szCs w:val="25"/>
              </w:rPr>
              <w:t>Привлеченные денежные средства (займы юридических лиц)</w:t>
            </w:r>
          </w:p>
        </w:tc>
      </w:tr>
    </w:tbl>
    <w:p w:rsidR="00054030" w:rsidRPr="00570B8C" w:rsidRDefault="00054030" w:rsidP="00B047B1"/>
    <w:p w:rsidR="001B783F" w:rsidRPr="00570B8C" w:rsidRDefault="00054030" w:rsidP="00B047B1">
      <w:r>
        <w:t xml:space="preserve">Проектная декларация размещена на сайте </w:t>
      </w:r>
      <w:hyperlink r:id="rId6" w:history="1">
        <w:r w:rsidR="00570B8C" w:rsidRPr="008C1A6F">
          <w:rPr>
            <w:rStyle w:val="a9"/>
            <w:lang w:val="en-US"/>
          </w:rPr>
          <w:t>www</w:t>
        </w:r>
        <w:r w:rsidR="00570B8C" w:rsidRPr="008C1A6F">
          <w:rPr>
            <w:rStyle w:val="a9"/>
          </w:rPr>
          <w:t>.</w:t>
        </w:r>
        <w:proofErr w:type="spellStart"/>
        <w:r w:rsidR="00570B8C" w:rsidRPr="008C1A6F">
          <w:rPr>
            <w:rStyle w:val="a9"/>
            <w:lang w:val="en-US"/>
          </w:rPr>
          <w:t>suncitydom</w:t>
        </w:r>
        <w:proofErr w:type="spellEnd"/>
        <w:r w:rsidR="00570B8C" w:rsidRPr="008C1A6F">
          <w:rPr>
            <w:rStyle w:val="a9"/>
          </w:rPr>
          <w:t>.</w:t>
        </w:r>
        <w:proofErr w:type="spellStart"/>
        <w:r w:rsidR="00570B8C" w:rsidRPr="008C1A6F">
          <w:rPr>
            <w:rStyle w:val="a9"/>
            <w:lang w:val="en-US"/>
          </w:rPr>
          <w:t>ru</w:t>
        </w:r>
        <w:proofErr w:type="spellEnd"/>
      </w:hyperlink>
      <w:r w:rsidR="00570B8C">
        <w:t xml:space="preserve">  </w:t>
      </w:r>
      <w:r w:rsidR="008955AA">
        <w:t>06</w:t>
      </w:r>
      <w:r w:rsidR="00570B8C">
        <w:t>.</w:t>
      </w:r>
      <w:r w:rsidR="008C71A8">
        <w:t>0</w:t>
      </w:r>
      <w:r w:rsidR="008955AA">
        <w:t>8</w:t>
      </w:r>
      <w:r w:rsidR="00570B8C">
        <w:t>.201</w:t>
      </w:r>
      <w:r w:rsidR="008C71A8">
        <w:t>5</w:t>
      </w:r>
      <w:r w:rsidR="00570B8C">
        <w:t>г.</w:t>
      </w:r>
    </w:p>
    <w:p w:rsidR="001B783F" w:rsidRPr="0078498F" w:rsidRDefault="001B783F" w:rsidP="00B047B1"/>
    <w:p w:rsidR="001B783F" w:rsidRDefault="001B783F" w:rsidP="00B047B1">
      <w:r w:rsidRPr="0078498F">
        <w:t>Генеральный директор</w:t>
      </w:r>
      <w:r w:rsidRPr="0078498F">
        <w:tab/>
      </w:r>
      <w:r w:rsidRPr="0078498F">
        <w:tab/>
      </w:r>
      <w:r w:rsidRPr="0078498F">
        <w:tab/>
      </w:r>
      <w:r w:rsidRPr="0078498F">
        <w:tab/>
      </w:r>
      <w:r w:rsidRPr="0078498F">
        <w:tab/>
      </w:r>
      <w:r w:rsidRPr="0078498F">
        <w:tab/>
      </w:r>
      <w:r w:rsidRPr="0078498F">
        <w:tab/>
        <w:t>А. И. Самойлов</w:t>
      </w:r>
    </w:p>
    <w:p w:rsidR="001B783F" w:rsidRDefault="001B783F" w:rsidP="00B047B1"/>
    <w:p w:rsidR="001B783F" w:rsidRDefault="001B783F" w:rsidP="00B047B1"/>
    <w:p w:rsidR="001B783F" w:rsidRDefault="001B783F" w:rsidP="00B047B1"/>
    <w:p w:rsidR="001B783F" w:rsidRDefault="001B783F" w:rsidP="00B047B1"/>
    <w:sectPr w:rsidR="001B783F" w:rsidSect="00B047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53F"/>
    <w:multiLevelType w:val="multilevel"/>
    <w:tmpl w:val="DEE82D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49542F8"/>
    <w:multiLevelType w:val="hybridMultilevel"/>
    <w:tmpl w:val="913C355C"/>
    <w:lvl w:ilvl="0" w:tplc="157232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6678FF"/>
    <w:multiLevelType w:val="multilevel"/>
    <w:tmpl w:val="5C0EFC9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1"/>
    <w:rsid w:val="000105EB"/>
    <w:rsid w:val="00042B4F"/>
    <w:rsid w:val="00043D80"/>
    <w:rsid w:val="0004434F"/>
    <w:rsid w:val="00054030"/>
    <w:rsid w:val="00057057"/>
    <w:rsid w:val="00083BF2"/>
    <w:rsid w:val="00096957"/>
    <w:rsid w:val="000C53CA"/>
    <w:rsid w:val="001233EC"/>
    <w:rsid w:val="0013552C"/>
    <w:rsid w:val="00160467"/>
    <w:rsid w:val="00160A75"/>
    <w:rsid w:val="00182A82"/>
    <w:rsid w:val="001A1D3D"/>
    <w:rsid w:val="001A6AED"/>
    <w:rsid w:val="001B716B"/>
    <w:rsid w:val="001B783F"/>
    <w:rsid w:val="001D0694"/>
    <w:rsid w:val="001D3CFA"/>
    <w:rsid w:val="001F2377"/>
    <w:rsid w:val="00224E03"/>
    <w:rsid w:val="00242054"/>
    <w:rsid w:val="00242D68"/>
    <w:rsid w:val="002465D9"/>
    <w:rsid w:val="002479BA"/>
    <w:rsid w:val="0025361A"/>
    <w:rsid w:val="002562AE"/>
    <w:rsid w:val="0026493C"/>
    <w:rsid w:val="002867B0"/>
    <w:rsid w:val="00296D85"/>
    <w:rsid w:val="002B128F"/>
    <w:rsid w:val="002B26EC"/>
    <w:rsid w:val="002C0DE1"/>
    <w:rsid w:val="002C4D72"/>
    <w:rsid w:val="002D74F2"/>
    <w:rsid w:val="002F285F"/>
    <w:rsid w:val="003003CE"/>
    <w:rsid w:val="0032696B"/>
    <w:rsid w:val="00344544"/>
    <w:rsid w:val="0038661F"/>
    <w:rsid w:val="003A4F7B"/>
    <w:rsid w:val="003A618A"/>
    <w:rsid w:val="003B31A1"/>
    <w:rsid w:val="003B574E"/>
    <w:rsid w:val="003B7C23"/>
    <w:rsid w:val="003C1B9C"/>
    <w:rsid w:val="003C7B1B"/>
    <w:rsid w:val="003E0609"/>
    <w:rsid w:val="003E148D"/>
    <w:rsid w:val="003E4D84"/>
    <w:rsid w:val="003E717C"/>
    <w:rsid w:val="0043141C"/>
    <w:rsid w:val="00435C29"/>
    <w:rsid w:val="0045758D"/>
    <w:rsid w:val="0046402D"/>
    <w:rsid w:val="00466DBD"/>
    <w:rsid w:val="00476BB2"/>
    <w:rsid w:val="0048009A"/>
    <w:rsid w:val="00484227"/>
    <w:rsid w:val="00484F0E"/>
    <w:rsid w:val="004904AA"/>
    <w:rsid w:val="00491CE1"/>
    <w:rsid w:val="004A4E5F"/>
    <w:rsid w:val="004B4560"/>
    <w:rsid w:val="004B6433"/>
    <w:rsid w:val="004B7D97"/>
    <w:rsid w:val="004C7E16"/>
    <w:rsid w:val="004D78E6"/>
    <w:rsid w:val="004D79F7"/>
    <w:rsid w:val="004F3C3D"/>
    <w:rsid w:val="004F4895"/>
    <w:rsid w:val="005132FE"/>
    <w:rsid w:val="00543469"/>
    <w:rsid w:val="00547ECA"/>
    <w:rsid w:val="00567568"/>
    <w:rsid w:val="00570B8C"/>
    <w:rsid w:val="00597444"/>
    <w:rsid w:val="005A5209"/>
    <w:rsid w:val="005B2335"/>
    <w:rsid w:val="005D71B2"/>
    <w:rsid w:val="005E3CCF"/>
    <w:rsid w:val="005F4BF4"/>
    <w:rsid w:val="00601D09"/>
    <w:rsid w:val="00623C58"/>
    <w:rsid w:val="0062568A"/>
    <w:rsid w:val="00627A0D"/>
    <w:rsid w:val="006327E8"/>
    <w:rsid w:val="00641867"/>
    <w:rsid w:val="00644D57"/>
    <w:rsid w:val="00644DE9"/>
    <w:rsid w:val="00652783"/>
    <w:rsid w:val="0065759A"/>
    <w:rsid w:val="00681EE6"/>
    <w:rsid w:val="006A7F42"/>
    <w:rsid w:val="006B1DA4"/>
    <w:rsid w:val="006C19AB"/>
    <w:rsid w:val="006C49F1"/>
    <w:rsid w:val="006D09B8"/>
    <w:rsid w:val="006D397D"/>
    <w:rsid w:val="006D6054"/>
    <w:rsid w:val="006D6C9C"/>
    <w:rsid w:val="006F5FBC"/>
    <w:rsid w:val="007520BF"/>
    <w:rsid w:val="00755FE3"/>
    <w:rsid w:val="0075688A"/>
    <w:rsid w:val="00757540"/>
    <w:rsid w:val="0078498F"/>
    <w:rsid w:val="007A338F"/>
    <w:rsid w:val="007A6424"/>
    <w:rsid w:val="007B010C"/>
    <w:rsid w:val="007B6D14"/>
    <w:rsid w:val="007C7B40"/>
    <w:rsid w:val="007D4C18"/>
    <w:rsid w:val="008060D0"/>
    <w:rsid w:val="00822800"/>
    <w:rsid w:val="00823190"/>
    <w:rsid w:val="00824C12"/>
    <w:rsid w:val="008275BA"/>
    <w:rsid w:val="00841D8C"/>
    <w:rsid w:val="008660B3"/>
    <w:rsid w:val="008955AA"/>
    <w:rsid w:val="008B21B4"/>
    <w:rsid w:val="008B419F"/>
    <w:rsid w:val="008B6C8B"/>
    <w:rsid w:val="008C60FB"/>
    <w:rsid w:val="008C71A8"/>
    <w:rsid w:val="008C73B3"/>
    <w:rsid w:val="008F18D5"/>
    <w:rsid w:val="008F2A4F"/>
    <w:rsid w:val="0090096C"/>
    <w:rsid w:val="0092373F"/>
    <w:rsid w:val="009614DB"/>
    <w:rsid w:val="009642ED"/>
    <w:rsid w:val="009702EB"/>
    <w:rsid w:val="00990DA7"/>
    <w:rsid w:val="009C2D8F"/>
    <w:rsid w:val="009E09C2"/>
    <w:rsid w:val="009E2BC6"/>
    <w:rsid w:val="009F1237"/>
    <w:rsid w:val="00A043AD"/>
    <w:rsid w:val="00A05EBC"/>
    <w:rsid w:val="00A141CC"/>
    <w:rsid w:val="00A225F1"/>
    <w:rsid w:val="00A22BE2"/>
    <w:rsid w:val="00A454ED"/>
    <w:rsid w:val="00A50F7B"/>
    <w:rsid w:val="00A6018B"/>
    <w:rsid w:val="00AE4FDB"/>
    <w:rsid w:val="00B047B1"/>
    <w:rsid w:val="00B0639D"/>
    <w:rsid w:val="00B4346E"/>
    <w:rsid w:val="00B51633"/>
    <w:rsid w:val="00B628B3"/>
    <w:rsid w:val="00B66BC3"/>
    <w:rsid w:val="00B80909"/>
    <w:rsid w:val="00B84D49"/>
    <w:rsid w:val="00B85791"/>
    <w:rsid w:val="00B9461F"/>
    <w:rsid w:val="00BA2467"/>
    <w:rsid w:val="00BE1750"/>
    <w:rsid w:val="00C21199"/>
    <w:rsid w:val="00C2173D"/>
    <w:rsid w:val="00C5736F"/>
    <w:rsid w:val="00C95EB2"/>
    <w:rsid w:val="00CB3615"/>
    <w:rsid w:val="00CD760C"/>
    <w:rsid w:val="00D07DDA"/>
    <w:rsid w:val="00D51B43"/>
    <w:rsid w:val="00D634DB"/>
    <w:rsid w:val="00D76495"/>
    <w:rsid w:val="00D775EB"/>
    <w:rsid w:val="00DA7F4A"/>
    <w:rsid w:val="00DB1623"/>
    <w:rsid w:val="00DB3F46"/>
    <w:rsid w:val="00DB4590"/>
    <w:rsid w:val="00DE24CC"/>
    <w:rsid w:val="00E309E6"/>
    <w:rsid w:val="00E36F5D"/>
    <w:rsid w:val="00E44FC0"/>
    <w:rsid w:val="00E50608"/>
    <w:rsid w:val="00E56060"/>
    <w:rsid w:val="00E603D3"/>
    <w:rsid w:val="00EA3984"/>
    <w:rsid w:val="00EA747F"/>
    <w:rsid w:val="00EB0EB1"/>
    <w:rsid w:val="00EE019B"/>
    <w:rsid w:val="00EF1C51"/>
    <w:rsid w:val="00F02647"/>
    <w:rsid w:val="00F075AE"/>
    <w:rsid w:val="00F13A11"/>
    <w:rsid w:val="00F13F3A"/>
    <w:rsid w:val="00F20C76"/>
    <w:rsid w:val="00F21331"/>
    <w:rsid w:val="00F357E9"/>
    <w:rsid w:val="00F36813"/>
    <w:rsid w:val="00F573D7"/>
    <w:rsid w:val="00FA028E"/>
    <w:rsid w:val="00FB3D3D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04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B047B1"/>
    <w:pPr>
      <w:spacing w:before="120"/>
      <w:ind w:firstLine="567"/>
      <w:jc w:val="both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21331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B047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21331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E0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331"/>
    <w:rPr>
      <w:rFonts w:cs="Times New Roman"/>
      <w:sz w:val="2"/>
    </w:rPr>
  </w:style>
  <w:style w:type="paragraph" w:customStyle="1" w:styleId="a8">
    <w:name w:val="Знак Знак"/>
    <w:basedOn w:val="a"/>
    <w:uiPriority w:val="99"/>
    <w:rsid w:val="002479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570B8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84227"/>
    <w:pPr>
      <w:widowControl w:val="0"/>
      <w:ind w:left="720"/>
      <w:contextualSpacing/>
    </w:pPr>
    <w:rPr>
      <w:rFonts w:ascii="Courier New" w:eastAsia="Calibr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04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B047B1"/>
    <w:pPr>
      <w:spacing w:before="120"/>
      <w:ind w:firstLine="567"/>
      <w:jc w:val="both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21331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B047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21331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E0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331"/>
    <w:rPr>
      <w:rFonts w:cs="Times New Roman"/>
      <w:sz w:val="2"/>
    </w:rPr>
  </w:style>
  <w:style w:type="paragraph" w:customStyle="1" w:styleId="a8">
    <w:name w:val="Знак Знак"/>
    <w:basedOn w:val="a"/>
    <w:uiPriority w:val="99"/>
    <w:rsid w:val="002479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570B8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84227"/>
    <w:pPr>
      <w:widowControl w:val="0"/>
      <w:ind w:left="720"/>
      <w:contextualSpacing/>
    </w:pPr>
    <w:rPr>
      <w:rFonts w:ascii="Courier New" w:eastAsia="Calibr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city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5</Pages>
  <Words>1078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Общества с ограниченной ответственностью «Тюменьстроймонтаж» на объект</vt:lpstr>
    </vt:vector>
  </TitlesOfParts>
  <Company>Office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Общества с ограниченной ответственностью «Тюменьстроймонтаж» на объект</dc:title>
  <dc:creator>user</dc:creator>
  <cp:lastModifiedBy>Менеджер 2</cp:lastModifiedBy>
  <cp:revision>4</cp:revision>
  <cp:lastPrinted>2015-04-09T09:27:00Z</cp:lastPrinted>
  <dcterms:created xsi:type="dcterms:W3CDTF">2015-08-10T09:23:00Z</dcterms:created>
  <dcterms:modified xsi:type="dcterms:W3CDTF">2015-08-13T03:38:00Z</dcterms:modified>
</cp:coreProperties>
</file>