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95" w:rsidRDefault="00730595" w:rsidP="00730595">
      <w:pPr>
        <w:pStyle w:val="a4"/>
        <w:shd w:val="clear" w:color="auto" w:fill="FFF3CB"/>
        <w:jc w:val="center"/>
        <w:rPr>
          <w:color w:val="593702"/>
          <w:sz w:val="21"/>
          <w:szCs w:val="21"/>
        </w:rPr>
      </w:pPr>
      <w:r>
        <w:rPr>
          <w:rStyle w:val="a5"/>
          <w:color w:val="593702"/>
          <w:sz w:val="21"/>
          <w:szCs w:val="21"/>
        </w:rPr>
        <w:t>ПРОЕКТНАЯ ДЕКЛАРАЦИЯ</w:t>
      </w:r>
    </w:p>
    <w:p w:rsidR="00730595" w:rsidRDefault="00730595" w:rsidP="00730595">
      <w:pPr>
        <w:pStyle w:val="a4"/>
        <w:shd w:val="clear" w:color="auto" w:fill="FFF3CB"/>
        <w:jc w:val="center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 xml:space="preserve">на строительство многоэтажного жилого дома переменной этажности с нежилыми помещениями по адресу: </w:t>
      </w:r>
      <w:proofErr w:type="gramStart"/>
      <w:r>
        <w:rPr>
          <w:color w:val="593702"/>
          <w:sz w:val="21"/>
          <w:szCs w:val="21"/>
        </w:rPr>
        <w:t>г</w:t>
      </w:r>
      <w:proofErr w:type="gramEnd"/>
      <w:r>
        <w:rPr>
          <w:color w:val="593702"/>
          <w:sz w:val="21"/>
          <w:szCs w:val="21"/>
        </w:rPr>
        <w:t>. Тюмень, ул. Беляева, д. 23, строение 1, 2, 3, 4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b/>
          <w:bCs/>
          <w:color w:val="593702"/>
          <w:sz w:val="21"/>
          <w:szCs w:val="21"/>
        </w:rPr>
        <w:t>1. Информация о застройщике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1.1. Фирменное (сокращенное) наименование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Общество с ограниченной ответственностью «Новый город – Инвест +»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Сокращенное наименование ООО «Новый город – Инвест +»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Место нахождения 625014, город Тюмень, улица Республики, 253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Режим работы понедельник – четверг: с 9.00 до 17.00 часов, пятница: с 9.00 до 16.00, обед: с 11.30 до 12.30 часов; выходные дни: суббота, воскресенье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Телефон: 8(3452)37-90-51, 27-44-06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1.2. Государственная регистрация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Свидетельство о внесении записи в Единый государственный реестр юридических лиц серия 72 № 002181805, выдано  Межрайонной инспекцией Федеральной налоговой службы № 14 по Тюменской области, ГРН 2127232268722 от 06.06.2012.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1.3. Участники застройщика, которые обладают пятью и более процентами голосов в органе управления юридического лица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 Попов Юрий Михайлович - 100 % голосов в органе управления ООО «Новый город – Инвест +».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1.5. Проекты строительства многоквартирных домов и (или) иных объектов недвижимости, в которых принимал участие застройщик в течение трёх лет, предшествующих размещению проектной декларации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 проекты отсутствуют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1.6.Вид лицензируемой деятельности (допуск к видам работ, оказывающим влияние на безопасность объектов капитального строительства)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Допуск к определенному виду или видам работ, которые оказывают влияние на безопасность объектов капитального строительства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Номер лицензии (свидетельства о допуске к таким работам, выданным саморегулируемой организацией)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0390.00-2012-7203267789-С-247, выданное 21 декабря 2012 года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Срок действия лицензии (свидетельства о допуске)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Свидетельство выдано без ограничения срока и территории его действия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Орган, выдавший лицензию (наименование саморегулируемой организации)</w:t>
      </w:r>
      <w:r>
        <w:rPr>
          <w:rStyle w:val="apple-converted-space"/>
          <w:color w:val="593702"/>
          <w:sz w:val="21"/>
          <w:szCs w:val="21"/>
        </w:rPr>
        <w:t> </w:t>
      </w:r>
      <w:r>
        <w:rPr>
          <w:color w:val="593702"/>
          <w:sz w:val="21"/>
          <w:szCs w:val="21"/>
        </w:rPr>
        <w:t>Саморегулируемая организация Некоммерческое партнерство «Международное строительное объединение»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lastRenderedPageBreak/>
        <w:t>1.7. Финансовый результат текущего года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0  рублей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Кредиторская задолженность на дату размещения проектной декларации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67 038 482 рублей 59 коп.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Дебиторская задолженность на дату размещения проектной декларации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3 203 100 рублей  71 коп.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5"/>
          <w:color w:val="593702"/>
          <w:sz w:val="21"/>
          <w:szCs w:val="21"/>
        </w:rPr>
        <w:t>2. Информация о проекте строительства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2.1. Цель проекта строительства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 xml:space="preserve">Строительство многоэтажного жилого дома переменной этажности с нежилыми помещениями по адресу: </w:t>
      </w:r>
      <w:proofErr w:type="gramStart"/>
      <w:r>
        <w:rPr>
          <w:color w:val="593702"/>
          <w:sz w:val="21"/>
          <w:szCs w:val="21"/>
        </w:rPr>
        <w:t>г</w:t>
      </w:r>
      <w:proofErr w:type="gramEnd"/>
      <w:r>
        <w:rPr>
          <w:color w:val="593702"/>
          <w:sz w:val="21"/>
          <w:szCs w:val="21"/>
        </w:rPr>
        <w:t>. Тюмень, ул. Беляева, д. 23, стр. 1,2,3,4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Этапы и сроки реализации проекта строительства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окончание строительства – 3 квартал 2015 года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Результат государственной экспертизы проектной документации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Положительное заключение Государственного автономного учреждения Тюменской области «Управление государственной экспертизы проектной документации» № 72-1-4-0743-12, утвержденное 22 февраля 2013 года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2.2. Разрешение на строительство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Разрешение на строительство № RU 72304000-110-рс, выдано Администрацией города Тюмени 15 апреля 2013 года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Срок действия разрешения – до 15 сентября 2015 года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2.3. Описание земельного участка, на котором осуществляется строительство (кадастровый номер, площадь, категория, разрешённое использование)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Земельный участок: кадастровый номер 72:23:0106003:15 площадью 6 868 кв.м.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Категория земель: земли населённых пунктов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Разрешённое использование: для размещения многоэтажной жилой застройки, для размещения объектов хранения легкового автотранспорта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Права застройщика на земельный участок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proofErr w:type="gramStart"/>
      <w:r>
        <w:rPr>
          <w:color w:val="593702"/>
          <w:sz w:val="21"/>
          <w:szCs w:val="21"/>
        </w:rPr>
        <w:t>Принадлежит на праве собственности: на основании Договора купли-продажи недвижимого имущества от 20.06.2012 № 1, что подтверждается Свидетельством о государственной регистрации права 72 НМ 304547, выданным Управлением федеральной службы государственной регистрации, кадастра и картографии по Тюменской области 25 июля 2012 года, о чем в Едином государственном реестре прав на недвижимое имущество и сделок с ним 25 июля 2012 года сделана запись регистрации</w:t>
      </w:r>
      <w:proofErr w:type="gramEnd"/>
      <w:r>
        <w:rPr>
          <w:color w:val="593702"/>
          <w:sz w:val="21"/>
          <w:szCs w:val="21"/>
        </w:rPr>
        <w:t xml:space="preserve"> № 72-72-01/308/2012-144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Собственник земельного участка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lastRenderedPageBreak/>
        <w:t> Общество с ограниченной ответственностью «Новый город – Инвест +»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2.4. Элементы благоустройства территории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 xml:space="preserve">Мероприятия по благоустройству решается устройством проездов, тротуаров, надземных стоянок автотранспорта, хозяйственных площадок, площадок для отдыха взрослых, детских игровых и спортивных площадок с установкой малых архитектурных форм и переносных изделий (скамьи, урны, детское игровое и спортивное оборудование, ограждение спортивной площадки высотой 2,5 м). </w:t>
      </w:r>
      <w:proofErr w:type="gramStart"/>
      <w:r>
        <w:rPr>
          <w:color w:val="593702"/>
          <w:sz w:val="21"/>
          <w:szCs w:val="21"/>
        </w:rPr>
        <w:t>Для дополнительного занятия физкультурой предусматривается использование физкультурно-оздоровительной площадки в границах квартала и в пределах пешеходной доступности 100м).</w:t>
      </w:r>
      <w:proofErr w:type="gramEnd"/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Все свободные от застройки и проездов участки озеленяются. Предусматривается устройство газонов, посадка деревьев и кустарников.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2.5. Местоположение строящегося объекта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Объект территориально расположен в Ленинском административном округе города Тюмени в границах улиц Беляева-Малиновского в жилом квартале со сложившейся жилой застройкой.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На выделенном земельном участке предусмотрено размещение многоэтажного жилого дома переменной этажности с нежилыми помещениями.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Описание строящегося объекта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Объект представляет собой жилой четырёхсекционный 9-14-тиэтажный дом (в том числе технический этаж, подвал, жилых этажей – 8-15) в кирпичном исполнении.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2.6. Технические характеристики строящегося объекта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Многоэтажный жилой дом переменной этажности с нежилыми помещениями: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proofErr w:type="gramStart"/>
      <w:r>
        <w:rPr>
          <w:color w:val="593702"/>
          <w:sz w:val="21"/>
          <w:szCs w:val="21"/>
        </w:rPr>
        <w:t>Площадь земельного участка – 0,6868 га.; количество этажей – 9-14, в том числе: технический этаж – 1, подвальный этаж - 1;  строительный объем здания – 48854 куб.м., в том числе ниже отм.0.000 – 3973,2 куб.м.; площадь жилого здания – 11821,4 кв.м.; общая площадь квартир – 8 763,2 кв.м., общая площадь подвала (встроенных нежилых помещений) – 472,4 кв.м., инженерные сети.</w:t>
      </w:r>
      <w:proofErr w:type="gramEnd"/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Архитектурные и конструктивные решения: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Функциональное назначение здания – 9-14 этажный четырехсекционный жилой дом с нежилыми помещениями в подвально-техническом этаже.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Жилой дом запроектирован в кирпичном исполнении. Пластика фасада решается за счет различных форм лоджий и цветовых решений фасадов здания.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Здание в плане Г-образное, главным фасадом ориентировано на местный проезд, с поворотом на улицу Малиновского, организуя завершенный угол.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Две 9-ти этажные прямоугольные в плане секции общим размером в осях 12.6х34.2м с общей внутренней стеной сблокированы в ряд.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Одна 14-ти этажная прямоугольная в плане, размером в осях 14.1х21.99м, секция сблокирована торцом через угловую вставку с 14-ти этажной поворотной трапециевидной в плане размером в осях 14.0х31.9м  секцией, которая другим торцом примыкает через деформационный шов размером в осях 1400 мм к 9-ти этажным секциям.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В каждой 14-этажной секции запроектированы по два пассажирских лифта, один из которых глубиной кабины 2 100 мм. В 9-ти секциях предусмотрено по одному лифту.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lastRenderedPageBreak/>
        <w:t>Лестничные клетки  в 14-ти этажных секциях выполнены незадымляемые Н</w:t>
      </w:r>
      <w:proofErr w:type="gramStart"/>
      <w:r>
        <w:rPr>
          <w:color w:val="593702"/>
          <w:sz w:val="21"/>
          <w:szCs w:val="21"/>
        </w:rPr>
        <w:t>1</w:t>
      </w:r>
      <w:proofErr w:type="gramEnd"/>
      <w:r>
        <w:rPr>
          <w:color w:val="593702"/>
          <w:sz w:val="21"/>
          <w:szCs w:val="21"/>
        </w:rPr>
        <w:t>, с переходом через воздушную зону и Н2 через тамбур-шлюз с подпором воздуха.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В здании  предусмотрено дымоудаление  из коридоров,  подпор воздуха в шахты лифтов в соответствии с требованиями норм  пожарной  безопасности.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Над верхним жилым этажом запроектирован технический этаж для установки инженерного оборудования и прокладки коммуникаций (машинные помещения лифтов, венткмеры, технические помещения, вентшахты).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В подвальном этаже в четырех секциях предусмотрены: нежилые помещения с санузлами и отдельными входами (в 9-ти этажных секциях – ателье, мастерская по ремонту обуви; в 14-ти этажных секциях – пункт приема химчистки, шахматный клуб), подсобные помещения, комнаты уборочного инвентаря, узел ввода, тепловой пункт, насосные, электрощитовые, венткамеры, технические помещения, инженерные коммуникации.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Высота жилых этажей (от пола до потолка) – 2,8 м., высота подвала (от пола до потолка) – 2,8 м, высота технического этажа: над 9-м жилым этажом – 1,8 м., над 14-м жилым этажом – 2,2 м. (в чистоте от пола до потолка).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Материалы отделки: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Фасад – кирпичная кладка с облицовочным керамическим кирпичом красного и белого цвета.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Цоколь, стенки пандусов, крылец – облицовка керамогранитными плитками темно-коричневого цвета.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Поверхности пандусов и крылец, ступени – облицовка противоскользящими искусственными плитами под природный камень (керамогранит) темно-коричневого цвета.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Оконные блоки, балконные двери – с переплетами из ПВХ профиля, с тройным остеклением.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Двери наружные входные – деревянные, утепленные с покраской масляной краской коричневого цвета.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Кровля – плоская, рулонная, водосток – внутренний.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Отмостки – из тротуарной плитки, шириной 1,0 м.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Конструктивная схема здания – с  продольными несущими кирпичными стенами.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Перекрытия и покрытие – перекрытия над техэтажем и подвалом сборные из железобетонных многопустотных плит; перекрытия над типовыми этажами из сборных многопустотных плит перекрытий перемычки сборные железобетонные.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Фундаменты – монолитные железобетонные фундаментные плиты под каждые две секции (9 и 14 этажей).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Стены подвала - из блоков ФБС толщиной 600 мм, из полнотелого керамического кирпича.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Стены наружные выше 0,000 – из керамического утолщенного кирпича толщиной 690мм с утепленной кладкой и облицовочным слоем из кирпича; в 14-ти этажных секциях - по верхнему обрезу блоков наружных стен выполнен монолитный железобетонный пояс толщиной 200мм.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Перегородки – перегородки в подвале и тамбурах выполнены из полнотелого керамического кирпича; межквартирные и межкомнатные перегородки представлены панелями «ЭКОТЕК».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2.7. Количество и площади квартир (жилых помещений) в составе строящегося жилого дома в соответствии с проектной документацией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lastRenderedPageBreak/>
        <w:t>Количество квартир – 166 штук, в том числе: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две 9-ти этажные секции: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1-комнатные – 18 штук (площадью 43,7 кв.м.);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2-комнатные – 36 штук (площадью от 52,6 кв.м. до 54,5 кв.м.)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две 14-ти этажные секции: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1-комнатные – 70 шт. (площадью от 42 кв.м. до 57,1 кв.м.);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2-комнатные – 28 шт. (площадью – от 59,9 кв.м. до 65,8 кв.м.);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3-комнатные – 14 шт. (площадью от 80 кв.м. до 81,3 кв.м.).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Всего –  8 763,2 кв.м.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Описание их технических характеристик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proofErr w:type="gramStart"/>
      <w:r>
        <w:rPr>
          <w:color w:val="593702"/>
          <w:sz w:val="21"/>
          <w:szCs w:val="21"/>
        </w:rPr>
        <w:t>Технические характеристики квартир: стены - кирпичные, перегородки – межквартирные и межкомнатные перегородки представлены панелями «ЭКОТЕК», полы – бетонные (черновые полы), стены и перегородки – обычная штукатурка, потолки – затирка швов (черновая отделка), пластиковые окна и балконные двери.</w:t>
      </w:r>
      <w:proofErr w:type="gramEnd"/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Все квартиры рассчитаны на комфортное проживание жильцов и имеют необходимый состав помещений, включающий в себя раздельный или совмещённый санузел, прихожую, кухню, гостиную, а также лоджии, площадь которых не включается в общую площадь жилых помещений.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2.8. Наименование (функциональное назначение), количество, площади нежилых помещений в строящемся жилом доме, не входящих в состав общего имущества жилого дома, их технические характеристики в соответствии с проектной документацией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Нежилые помещения: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9-ти этажные секции: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нежилые помещения, расположенные в подвале – 2 шт.: ателье, мастерская по ремонту обуви.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14-ти этажные секции: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нежилые помещения, расположенные в подвале – 2 шт.: пункт приема химчистки, шахматный клуб.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proofErr w:type="gramStart"/>
      <w:r>
        <w:rPr>
          <w:rStyle w:val="a6"/>
          <w:color w:val="593702"/>
          <w:sz w:val="21"/>
          <w:szCs w:val="21"/>
          <w:u w:val="single"/>
        </w:rPr>
        <w:t>Технические характеристики нежилых помещений:</w:t>
      </w:r>
      <w:r>
        <w:rPr>
          <w:rStyle w:val="apple-converted-space"/>
          <w:color w:val="593702"/>
          <w:sz w:val="21"/>
          <w:szCs w:val="21"/>
        </w:rPr>
        <w:t> </w:t>
      </w:r>
      <w:r>
        <w:rPr>
          <w:color w:val="593702"/>
          <w:sz w:val="21"/>
          <w:szCs w:val="21"/>
        </w:rPr>
        <w:t>стены -  полнотелый керамический кирпич, полы – бетонные, стены и перегородки – обычная штукатурка, потолки – затирка швов (черновая отделка), пластиковые окна.</w:t>
      </w:r>
      <w:proofErr w:type="gramEnd"/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Встроенные помещения общественного назначения, размещены в подвале, во всех секциях. Входы в помещения предусмотрены не с дворовой территории, изолированы от входов в жилые части секций.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2.9. Состав общего имущества жилого дома,  которое будет находиться в общей долевой собственности участников долевого строительства после получения разрешения на ввод в эксплуатацию жилого дома и передачи объектов долевого строительства участникам строительства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lastRenderedPageBreak/>
        <w:t>В состав общего имущества жилого дома входит имущество, предусмотренное ст.36 Жилищного кодекса Российской Федерации, в том числе: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1. Межквартирные лестничные площадки, лестницы.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2. Лифты, лифтовые и иные шахты, машинные помещения лифтов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3. Помещения ИТП, электрощитовые и инженерные коммуникации в подвале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4. Помещение уборочного инвентаря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5. Вентиляционные шахты и иные помещения технического этажа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6. Крыши, коридоры, чердаки (технические этажи), технические подвалы.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7. Ограждающие несущие и ненесущие конструкции дома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8. Иное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9. Земельный участок, на котором будет расположен дом, с элементами озеленения и благоустройства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2.10. Предполагаемый срок получения разрешения на ввод в эксплуатацию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3 квартал 2015 года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Администрация города Тюмени  в лице Департамента градостроительной политики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2.11. Возможные финансовые и прочие риски при осуществлении проекта строительства/ Меры по добровольному страхованию застройщиком таких рисков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Вероятность финансовых и иных рисков при осуществлении проекта строительства невелика, так как финансовое положение ООО «Новый город – Инвест +» является стабильным.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таких, как стихийные бедствия (землетрясения, наводнения), военные действия, забастовки,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жилого дома в эксплуатацию.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ООО «Новый город – Инвест +» не планирует производить добровольное страхование от финансовых и прочих рисков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2.12. Планируемая стоимость строительства жилого дома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321 476 402 рублей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2.13. Проектная организация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ООО «ТюменьМегаПроект»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Подрядчики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lastRenderedPageBreak/>
        <w:t>ООО «Дельта-А»,  ООО «Автотех»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2.14. Способ обеспечения исполнения обязательств застройщика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Залог в порядке, предусмотренном статьями 13 – 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rStyle w:val="a6"/>
          <w:color w:val="593702"/>
          <w:sz w:val="21"/>
          <w:szCs w:val="21"/>
          <w:u w:val="single"/>
        </w:rPr>
        <w:t>2.15. Иные договоры и сделки, на основании которых привлекаются денежные средства для строительства (за исключением договоров участия в долевом строительстве)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По иным договорам и сделкам (кроме  договоров участия в долевом строительстве) денежные средства не привлекаются, строительство ведётся за счёт собственных средств застройщика.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Проектная декларация размещена в сети Интернет на сайте</w:t>
      </w:r>
      <w:r>
        <w:rPr>
          <w:rStyle w:val="apple-converted-space"/>
          <w:color w:val="593702"/>
          <w:sz w:val="21"/>
          <w:szCs w:val="21"/>
        </w:rPr>
        <w:t> </w:t>
      </w:r>
      <w:r>
        <w:rPr>
          <w:color w:val="593702"/>
          <w:sz w:val="21"/>
          <w:szCs w:val="21"/>
          <w:u w:val="single"/>
        </w:rPr>
        <w:t>www.ng-invest.ru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Дата размещения проектной декларации - 22 апреля 2013 года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Генеральный директор</w:t>
      </w:r>
    </w:p>
    <w:p w:rsidR="00730595" w:rsidRDefault="00730595" w:rsidP="00730595">
      <w:pPr>
        <w:pStyle w:val="a4"/>
        <w:shd w:val="clear" w:color="auto" w:fill="FFF3CB"/>
        <w:jc w:val="both"/>
        <w:rPr>
          <w:color w:val="593702"/>
          <w:sz w:val="21"/>
          <w:szCs w:val="21"/>
        </w:rPr>
      </w:pPr>
      <w:r>
        <w:rPr>
          <w:color w:val="593702"/>
          <w:sz w:val="21"/>
          <w:szCs w:val="21"/>
        </w:rPr>
        <w:t>ООО «Новый город – Инвест +»      В.В. Костин</w:t>
      </w:r>
    </w:p>
    <w:p w:rsidR="007443C2" w:rsidRDefault="007443C2"/>
    <w:sectPr w:rsidR="007443C2" w:rsidSect="0074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30595"/>
    <w:rsid w:val="003530E9"/>
    <w:rsid w:val="00363DBB"/>
    <w:rsid w:val="00423446"/>
    <w:rsid w:val="00515512"/>
    <w:rsid w:val="007177D6"/>
    <w:rsid w:val="00730595"/>
    <w:rsid w:val="007443C2"/>
    <w:rsid w:val="00BB3BB3"/>
    <w:rsid w:val="00E2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B3B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i/>
      <w:sz w:val="28"/>
      <w:szCs w:val="24"/>
    </w:rPr>
  </w:style>
  <w:style w:type="paragraph" w:styleId="a4">
    <w:name w:val="Normal (Web)"/>
    <w:basedOn w:val="a"/>
    <w:uiPriority w:val="99"/>
    <w:semiHidden/>
    <w:unhideWhenUsed/>
    <w:rsid w:val="0073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0595"/>
    <w:rPr>
      <w:b/>
      <w:bCs/>
    </w:rPr>
  </w:style>
  <w:style w:type="character" w:styleId="a6">
    <w:name w:val="Emphasis"/>
    <w:basedOn w:val="a0"/>
    <w:uiPriority w:val="20"/>
    <w:qFormat/>
    <w:rsid w:val="00730595"/>
    <w:rPr>
      <w:i/>
      <w:iCs/>
    </w:rPr>
  </w:style>
  <w:style w:type="character" w:customStyle="1" w:styleId="apple-converted-space">
    <w:name w:val="apple-converted-space"/>
    <w:basedOn w:val="a0"/>
    <w:rsid w:val="00730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12516</Characters>
  <Application>Microsoft Office Word</Application>
  <DocSecurity>0</DocSecurity>
  <Lines>104</Lines>
  <Paragraphs>29</Paragraphs>
  <ScaleCrop>false</ScaleCrop>
  <Company>MultiDVD Team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2013-05-14T12:52:00Z</dcterms:created>
  <dcterms:modified xsi:type="dcterms:W3CDTF">2013-05-14T12:52:00Z</dcterms:modified>
</cp:coreProperties>
</file>