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4" w:rsidRPr="00892C14" w:rsidRDefault="00892C14" w:rsidP="00892C14">
      <w:pPr>
        <w:shd w:val="clear" w:color="auto" w:fill="FFFFFF"/>
        <w:spacing w:before="125" w:after="125" w:line="240" w:lineRule="auto"/>
        <w:outlineLvl w:val="3"/>
        <w:rPr>
          <w:rFonts w:ascii="Arial" w:eastAsia="Times New Roman" w:hAnsi="Arial" w:cs="Arial"/>
          <w:b/>
          <w:bCs/>
          <w:color w:val="3E495E"/>
          <w:sz w:val="18"/>
          <w:szCs w:val="18"/>
          <w:lang w:eastAsia="ru-RU"/>
        </w:rPr>
      </w:pPr>
      <w:r w:rsidRPr="00892C14">
        <w:rPr>
          <w:rFonts w:ascii="Arial" w:eastAsia="Times New Roman" w:hAnsi="Arial" w:cs="Arial"/>
          <w:b/>
          <w:bCs/>
          <w:color w:val="3E495E"/>
          <w:sz w:val="18"/>
          <w:lang w:eastAsia="ru-RU"/>
        </w:rPr>
        <w:t>ПРОЕКТНАЯ ДЕКЛАРАЦИЯ</w:t>
      </w:r>
    </w:p>
    <w:p w:rsidR="00892C14" w:rsidRPr="00892C14" w:rsidRDefault="00892C14" w:rsidP="00892C14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На объект « Многоквартирные жилые дома» по адресу г. Тобольск, 15 микрорайон, участок №22, I этап строительства. Жилой дом ГП-6.</w:t>
      </w:r>
    </w:p>
    <w:p w:rsidR="00892C14" w:rsidRPr="00892C14" w:rsidRDefault="00892C14" w:rsidP="00892C14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I.Информация о застройщике</w:t>
      </w:r>
    </w:p>
    <w:p w:rsidR="00892C14" w:rsidRPr="00892C14" w:rsidRDefault="00892C14" w:rsidP="00892C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О фирменном наименовании, месте нахождения, а также о режиме работы застройщика 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Общество с ограниченной ответственностью «Меридиан Констракшн Тобольск», сокращенное наименование ООО «Меридиан Констракшн Тобольск»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Юридический адрес: 625000, Тюменская область, г. Тюмень, ул. Советская, д. 51 корп. 1.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Местонахождение обособленного подразделения ООО «Меридиан Констракшн Тобольск»: 626150, Тюменская область, город Тобольск, 7 микрорайон, №30.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Режим работы застройщика и его обособленного подразделения: понедельник-пятница – с 9.00 до 18.00, обед с 13.00 до 14.00, суббота и воскресенье – выходные дни.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Контактные телефоны центрального офиса: 8 (3452) 52-92-52, 52-92-53, 52-92-51. Факс: 8 (3452) 52-92-52, 52-92-53.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Контактный телефон обособленного подразделения: 8 (3456) 277-772.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Сайт: www.meridian72.ru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Отдел продаж: 8 (3452) 52-92-52, 8 (3456) 277-772</w:t>
      </w:r>
    </w:p>
    <w:p w:rsidR="00892C14" w:rsidRPr="00892C14" w:rsidRDefault="00892C14" w:rsidP="00892C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Информация о государственной регистрации застройщика: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Зарегистрировано 05 сентября 2013 года за основным государственным регистрационным номером 1137232051560 Межрайонной инспекцией Федеральной налоговой службы № 14 по Тюменской области, серия 72 № 002267882 от 05 сентября 2013 года.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Поставлено на налоговый учет в соответствии с Налоговым кодексом Российской Федерации 05 сентября 2013 г. Инспекцией Федеральной налоговой службы по г. Тюмени № 4, присвоен ИНН 7204194325, КПП 720401001</w:t>
      </w:r>
    </w:p>
    <w:p w:rsidR="00892C14" w:rsidRPr="00892C14" w:rsidRDefault="00892C14" w:rsidP="00892C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а также процента голосов, которым обладает каждый такой учредитель (участник) в органе управления этого юридического лица: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Орган управления ООО «Меридиан Констракшн Тобольск» - Общее собрание участников Общества.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Единоличный исполнительный орган Общества – Генеральный директор Общества.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Учредителями (участниками) застройщика, обладающими 5 и более % голосов в органе управления Общества является: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Юрченко Вадим Васильевич (доля в уставном капитале 35 %, что составляет 35 % голосов на общем собрании участников общества)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Наконечный Алексей Николаевич (доля в уставном капитале 21,67 %, что составляет 21,67 % голосов на общем собрании участников общества)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Медведев Ростислав Владимирович (доля в уставном капитале 21,66 % что составляет 21,66 % голосов на общем собрании участников общества)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Завьялов Владимир Васильевич (доля в уставном капитале 21,67 %, что составляет 21,67 % голосов на общем собрании участников общества)</w:t>
      </w:r>
    </w:p>
    <w:p w:rsidR="00892C14" w:rsidRPr="00892C14" w:rsidRDefault="00892C14" w:rsidP="00892C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ООО «Меридиан Констракшн Тобольск» выступает в качестве Заказчика-Застройщика по строительству следующих объектов: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-17-ти этажный  (16 этажей жилых, технический этаж) односекционный жилой дом  ГП-1   в г. Тобольск, 15 микрорайон, участок №20, I этап строительства»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Срок ввода в эксплуатацию в соответствии с проектной документацией  - 4кв. 2015г.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-«17-ти этажный(16 этажей жилых, технический этаж)  односекционный жилой дом  ГП-2   в г. Тобольск, 15 микрорайон, участок №20, I этап строительства»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Срок ввода в эксплуатацию в соответствии с проектной документацией  - 4кв. 2015г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-«17-ти этажный  (16 этажей жилых, технический этаж) односекционный жилой дом  ГП-3   в г. Тобольск, 15 микрорайон, участок №20, II этап строительства»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Срок ввода в эксплуатацию в соответствии с проектной документацией  - 1кв. 2016г.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-«17-ти этажный  (16 этажей жилых, технический этаж) односекционный жилой дом  ГП-4   в г. Тобольск, 15 микрорайон, участок №20, II этап строительства»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Срок ввода в эксплуатацию в соответствии с проектной документацией  - 1кв. 2016г.</w:t>
      </w:r>
    </w:p>
    <w:p w:rsidR="00892C14" w:rsidRPr="00892C14" w:rsidRDefault="00892C14" w:rsidP="00892C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Информация о виде лицензируемой деятельности, номере лицензии, сроке их действия 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lastRenderedPageBreak/>
        <w:t>С 01 января 2010г. данный вид деятельности не лицензируется.</w:t>
      </w:r>
    </w:p>
    <w:p w:rsidR="00892C14" w:rsidRPr="00892C14" w:rsidRDefault="00892C14" w:rsidP="00892C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Информация о финансовом результате текущего года, размере кредиторской и дебиторской задолженности на день опубликования проектной документации 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Кредиторская задолженность -   620 131 т. руб.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Дебиторская задолженность – 72 745 т. руб.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Финансовый результат текущего года - убыток  570  тыс. руб.</w:t>
      </w:r>
    </w:p>
    <w:p w:rsidR="00892C14" w:rsidRPr="00892C14" w:rsidRDefault="00892C14" w:rsidP="00892C14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II. Информация о проекте строительства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Цель проекта строительства: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Строительство 17-ти этажного  (16 этажей жилых, технический этаж), двухсекционного жилого дома ГП-6 по адресу г. Тобольск, 15 микрорайон, 22 участок ( далее «жилой дом ГП-6»), обеспечивающее жителей г. Тобольска и Тюменской области, ХМАО, ЯМАО  жильем.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Этапы и сроки реализации проекта строительства: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Начало строительства - 3-й квартал 2014г.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Окончание строительства - 4-й квартал 2016г.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Этапы строительства отсутствуют.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Результаты государственной экспертизы проектной документации: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Положительное заключение негосударственной экспертизы ООО «Агентство строительного проектирования и консалтинга» (г. Тюмень) № 2-1-1-0013-14 от  07 июля 2014г. Объект экспертизы – проектная документация.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Положительное заключение государственной экспертизы  ГАУ ТО «Управление государственной экспертизы проектной документации»  №72-1-1-0102-14 от 02 июля 2014г. Объект госэкспертизы – результаты инженерных изысканий.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Информация о разрешении на строительство: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Разрешение на строительство №RU 72303000-238 от 29 июля 2014г. выдано комитетом градостроительной политики Администрации г. Тобольска.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Права застройщика на земельный участок, собственник земельного участка, границы и площади земельного участка, предусмотренные проектной документацией, элементы благоустройства: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334455"/>
          <w:sz w:val="18"/>
          <w:lang w:eastAsia="ru-RU"/>
        </w:rPr>
        <w:t>5.1 Земельный участок предоставлен в аренду Администрацией г. Тобольска Тюменской области на основании: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договора аренды земельного участка №02-05/286-13 от 14 августа 2013г., зарегистрированного 26 августа 2013г. в Тобольском  отделе Управления Федеральной службы государственной регистрации, кадастра и картографии по Тюменской области за № 72-72-04/058/2013-141.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-договора уступки прав аренды земельного участка от 30 августа 2013г., зарегистрированного 05 сентября 2013г. в Тобольском отделе Управления Федеральной службы государственной регистрации, кадастра и картографии по Тюменской области за №72-72-04/061/2013-393.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договора №1 уступки прав аренды земельного участка от  16 сентября 2013г., зарегистрированного 01 октября 2013г. в Тобольском отделе Управления Федеральной службы государственной регистрации, кадастра и картографии по Тюменской области за №72-72-04/067/2013-257.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Категория земель участка: земли населенных пунктов.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Кадастровый номер участка 72:24:0304014:295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Собственник земельного участка – право на земельный участок не разграничено.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Площадь участка-41 469 м2.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b/>
          <w:bCs/>
          <w:color w:val="334455"/>
          <w:sz w:val="18"/>
          <w:lang w:eastAsia="ru-RU"/>
        </w:rPr>
        <w:t>5.2 Благоустройство территории решается устройством проездов, автостоянок, тротуаров, детских игровых площадок , площадок для отдыха взрослых, спортивных площадок, хозяйственных площадок с установкой малых архитектурных форм и переносных изделий (скамейки, урны, детское игровое и спортивное оборудование, оборудование хозяйственных площадок, ограждение детской и спортивных площадок).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Предусмотрено освещение территории наружными светильниками на опорах.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На временных автостоянках предусматривается установка дорожных знаков. Расположение парковочных мест обозначено горизонтальной разметкой.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Озеленение территории решается устройством газонов из  многолетних  трав, посадкой  деревьев и кустарников.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Местоположение; описание  строящегося многоквартирного дома и иных объектов недвижимости в соответствии с проектной документацией, на основании которой выдано разрешение на строительство.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Участок строительства расположен по адресу: Тюменская область, г. Тобольск, 15 микрорайон, участок №22, и граничит: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с запада – ранее запроектированные 16  этажные жилые дома с прилегающей территорией участок №20 (зона ЖЗ101) и участок под перспективную застройку;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lastRenderedPageBreak/>
        <w:t>- с востока – красные линии проектируемой улицы (магистраль М8), а так же участки АГЗС и ПНС;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с юга – ул. Знаменского;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с севера -  участки под проектирование многоэтажной жилой застройки в составе 15 микрорайона, в данный момент – свободные территории, занятые зелеными насаждениями.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На участке проектирования предусмотрено размещение многоэтажных жилых домов в три этапа. На участке проектирования предусмотрено размещение: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I этап – жилой дом ГП-6;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II этап – жилых домов ГП-7 и ГП-8;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III этап -  жилой дом ГП-5.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 Здание жилое, двухсекционное, семнадцатиэтажное, с техническим подпольем и техническим этажом (техническим чердаком), прямоугольной формы в плане,  размерами в осях 81,0 х 15,0 м. Этажность – 17 этажей (16 этажей жилых, технический этаж).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Строительный объем – 65 274, 22 м3, в том числе техподполья-3 091,66 м3.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Количество квартир - 429 шт, в т. ч. 1-комнатных – 398 шт, 2-комнатных – 31 шт.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Общая площадь квартир (без учета балконов) -  12 414,27 м2.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Площадь нежилых помещений - 537,62 м2.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Площадь подсобных помещений 1-го этажа- 14,34 м2.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В техническом подполье запроектировано размещение технических помещений инженерного обеспечения жилого дома (тепловой пункт, насосная).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На первом этаже жилого дома размещаются придомовые помещения (входные тамбуры, лифтовой холл, электрощитовая, помещение уборочного инвентаря,  одно- и двухкомнатные квартиры, нежилые помещения (офисы)).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На втором  - шестнадцатом (жилых) этажах размещаются одно- и двухкомнатные квартиры, лифтовой холл, незадымляемая лестничная клетка, тамбура.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В техническом этаже (техническом чердаке) размещаются машинные помещения лифтов и технические помещения.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Связь между этажами жилого здания предусмотрена по незадымляемой лестничной клетке, расположенной в каждой секции.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Каждая секция жилого дома оборудована двумя лифтами грузоподъемностью 630кг и 1000 кг.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Конструктивная схема жилого здания – стеновая, с продольными и поперечными несущими стенами.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Пространственная жесткость и устойчивость  здания в целом обеспечивается  совместной работой стен с горизонтальными дисками перекрытий.</w:t>
      </w:r>
    </w:p>
    <w:p w:rsidR="00892C14" w:rsidRPr="00892C14" w:rsidRDefault="00892C14" w:rsidP="00892C14">
      <w:pPr>
        <w:shd w:val="clear" w:color="auto" w:fill="FFFFFF"/>
        <w:spacing w:after="125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- комбинированный  свайно – плитный. Плита – монолитная железобетонная толщиной  800мм, из бетона В25, F100, W6, арматуры А-III по ГОСТ 5781-82. Сваи - забивные, железобетонные марки С120.30-8 по серии 1.011.1-10 из бетона В25, F100, W6.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Под плитой предусмотрено устройство бетонной подготовки из бетона В7,5 толщиной 100 мм по щебеночной подготовке толщиной 200 мм.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i/>
          <w:iCs/>
          <w:color w:val="334455"/>
          <w:sz w:val="18"/>
          <w:lang w:eastAsia="ru-RU"/>
        </w:rPr>
        <w:t>Наружные стены 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выше отметки 0.000 – многослойные: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i/>
          <w:iCs/>
          <w:color w:val="334455"/>
          <w:sz w:val="18"/>
          <w:lang w:eastAsia="ru-RU"/>
        </w:rPr>
        <w:t>- в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нутренний слой: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i/>
          <w:iCs/>
          <w:color w:val="334455"/>
          <w:sz w:val="18"/>
          <w:lang w:eastAsia="ru-RU"/>
        </w:rPr>
        <w:t>- 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толщиной 200 мм монолитные железобетонные из бетона B25, F75, W4, арматуры А I и АIII по ГОСТ 5781-82</w:t>
      </w:r>
      <w:r w:rsidRPr="00892C14">
        <w:rPr>
          <w:rFonts w:ascii="Helvetica" w:eastAsia="Times New Roman" w:hAnsi="Helvetica" w:cs="Times New Roman"/>
          <w:i/>
          <w:iCs/>
          <w:color w:val="334455"/>
          <w:sz w:val="18"/>
          <w:lang w:eastAsia="ru-RU"/>
        </w:rPr>
        <w:t>.</w:t>
      </w:r>
      <w:r w:rsidRPr="00892C14">
        <w:rPr>
          <w:rFonts w:ascii="Helvetica" w:eastAsia="Times New Roman" w:hAnsi="Helvetica" w:cs="Times New Roman"/>
          <w:color w:val="334455"/>
          <w:sz w:val="18"/>
          <w:lang w:eastAsia="ru-RU"/>
        </w:rPr>
        <w:t> 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 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-толщиной 300 мм  из блоков из ячеистого бетона марки Блок I/625х300х250/D500/В2,5/F25 по  ГОСТ 31360-2007, на растворе М75;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утеплитель - минераловатные плиты по ТУ 5762-043-17925162-2006, толщиной  110мм, 210мм;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наружный слой: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 толщиной 120мм из кирпича марки СУЛ-100/50 по ГОСТ 379-95.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 Соединение слоев многослойных стен предусмотрено стеклопластиковыми гибкими связями по ТУ 1490-002-13101102-2002.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</w:r>
      <w:r w:rsidRPr="00892C14">
        <w:rPr>
          <w:rFonts w:ascii="Helvetica" w:eastAsia="Times New Roman" w:hAnsi="Helvetica" w:cs="Times New Roman"/>
          <w:i/>
          <w:iCs/>
          <w:color w:val="334455"/>
          <w:sz w:val="18"/>
          <w:lang w:eastAsia="ru-RU"/>
        </w:rPr>
        <w:t>Внутренние стены 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– монолитные железобетонные из бетона В25, F75,W6, арматуры А I и АIII по ГОСТ 5781-82, толщиной 200мм.</w:t>
      </w:r>
      <w:r w:rsidRPr="00892C14">
        <w:rPr>
          <w:rFonts w:ascii="Helvetica" w:eastAsia="Times New Roman" w:hAnsi="Helvetica" w:cs="Times New Roman"/>
          <w:color w:val="334455"/>
          <w:sz w:val="18"/>
          <w:lang w:eastAsia="ru-RU"/>
        </w:rPr>
        <w:t> </w:t>
      </w:r>
      <w:r w:rsidRPr="00892C14">
        <w:rPr>
          <w:rFonts w:ascii="Helvetica" w:eastAsia="Times New Roman" w:hAnsi="Helvetica" w:cs="Times New Roman"/>
          <w:i/>
          <w:iCs/>
          <w:color w:val="334455"/>
          <w:sz w:val="18"/>
          <w:lang w:eastAsia="ru-RU"/>
        </w:rPr>
        <w:t>- 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толщиной 90 мм и 190 мм из керамзитобетонных блоков  по ГОСТ 6133-99  на растворе М75.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Кровля - наплавляемая из «Унифлекса» по ТУ 5774-001-17925162-99. Утеплитель в кровле – минераловатные плиты по ТУ 5762-003-08621635-98, толщиной 230мм.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Окна, балконные двери, витражи – из ПВХ профилей по ГОСТ 23166-99.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Водоснабжение, канализация, электроснабжение, телефонизация, телевидение – от городских сетей.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Количество и состав самостоятельных частей в строящемся объекте, описание их технических характеристик: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В состав самостоятельных частей строящегося объекта входят: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- квартиры, расположенные с 1 по 16 этажи, количество которых – 429шт., в том числе: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Однокомнатных- 398 шт, общей площадью (без учета балконов) 19,39- 46,66м2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Двухкомнатных-31 шт, общей площадью (без учета балконов) 51,32- 65,08м2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Нежилые помещения (офисы), расположенные на 1-м этаже, количество которых -10 шт, общей площадью 29,22-106,97м2.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О функциональном назначении  нежилых помещений, не входящих в состав общего имущества в многоквартирном доме: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lastRenderedPageBreak/>
        <w:t>Проектом жилого дома на 1 этаже предусмотрены нежилые помещения, не входящие в состав общего имущества. Назначение нежилых помещений – офисы.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Количество нежилых помещений –  10 шт, нежилое помещение №1 -106,97 м2; нежилое помещение №2 –48,38 м2;  нежилое помещение №3 – 36,63 м2; нежилое помещение №4 -55,77 м2; нежилое помещение №5 – 58,00 м2; нежилое помещение №6 – 32,09 м2; нежилое помещение №7 – 69,47 м2; нежилое помещение №8 – 53,98 м2; нежилое помещение №9 -29,22 м2; нежилое помещение №10- 47,11 м2.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О составе общего имущества в многоквартирном доме и (или) ином объекте недвижимости, которое будет находится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В состав общего имущества входят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 и лифты, лифтовые шахты, электрощитовые, коридоры, технический подвал, в котором предусмотрены технические помещения инженерного оборудования (насосная, индивидуальный тепловой пункт, помещение для размещения сетей инженерно-технического обеспечения), теплый технический этаж (технический чердак), крыша, ограждающие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В состав общего имущества входит земельный участок, на котором расположен данный дом с элементами озеленения и благоустройства данного дома, объекты, расположенные на указанном земельном участке.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Предполагаемый срок получения разрешения на ввод в эксплуатацию объекта – 4-й квартал 2016г.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 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 объектов недвижимости  в эксплуатацию: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Комитет градостроительной политики Администрации г. Тобольска.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Возможные финансовые и прочие риски при осуществлении проекта строительства и меры по добровольному страхованию застройщиком таких рисков.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обстоятельств. Добровольное страхование рисков  осуществляется страховой компанией «Обществом взаимного страхования гражданской ответственности застройщиков».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Планируемая стоимость строительства объекта – 466 млн. руб.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 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Перечень подрядных организаций, осуществляющих основные строительно-монтажные работы и другие работы: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Генподрядчик - ООО «Сибстройальянс»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Генпроектировщик – ООО «ПРОЕКТ 2001».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Способ обеспечения исполнения обязательств застройщика по договору участия в долевом строительстве.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Исполнение обязательств Застройщика по договорам участия в долевом строительстве обеспечиваются залогом права аренды земельного участка, предоставленного для строительства жилых домов ГП-5, ГП-6, ГП-7, ГП-8 в г.Тобольске и строящегося жилого дома ГП-6, находящегося на данном земельном участке с момента государственной регистрации договоров участия в долевом строительстве.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договора участия в долевом строительстве.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lastRenderedPageBreak/>
        <w:t>Возможно заключение договоров целевого займа с юридическими лицами.</w:t>
      </w:r>
    </w:p>
    <w:p w:rsidR="00892C14" w:rsidRPr="00892C14" w:rsidRDefault="00892C14" w:rsidP="00892C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b/>
          <w:bCs/>
          <w:color w:val="006699"/>
          <w:sz w:val="18"/>
          <w:szCs w:val="18"/>
          <w:lang w:eastAsia="ru-RU"/>
        </w:rPr>
        <w:t>Оригинал проектной декларации хранится у Застройщика – ООО «Меридиан Констракшн Тобольск» по адресу: г. Тюмень, ул. Советская д.51 корп.1 БЦ «Ермак» 7-й этаж.</w:t>
      </w:r>
    </w:p>
    <w:p w:rsidR="00892C14" w:rsidRPr="00892C14" w:rsidRDefault="00892C14" w:rsidP="00892C14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Проектная декларация размещена в сети Интернет на сайте : www. meridian72.ru</w:t>
      </w:r>
    </w:p>
    <w:p w:rsidR="00892C14" w:rsidRPr="00892C14" w:rsidRDefault="00892C14" w:rsidP="00892C14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Настоящая проектная декларация составлена в соответствии с требованиями Федерального закона от 30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92C14" w:rsidRPr="00892C14" w:rsidRDefault="00892C14" w:rsidP="00892C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</w:pP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t>18 августа 2014 г.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Генеральный директор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ООО «Меридиан Констракшн Тобольск»</w:t>
      </w:r>
      <w:r w:rsidRPr="00892C14">
        <w:rPr>
          <w:rFonts w:ascii="Helvetica" w:eastAsia="Times New Roman" w:hAnsi="Helvetica" w:cs="Times New Roman"/>
          <w:color w:val="334455"/>
          <w:sz w:val="18"/>
          <w:szCs w:val="18"/>
          <w:lang w:eastAsia="ru-RU"/>
        </w:rPr>
        <w:br/>
        <w:t>С.С. Гусев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F1"/>
    <w:multiLevelType w:val="multilevel"/>
    <w:tmpl w:val="43AC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D64E8"/>
    <w:multiLevelType w:val="multilevel"/>
    <w:tmpl w:val="BD0E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2C14"/>
    <w:rsid w:val="001064D7"/>
    <w:rsid w:val="003530E9"/>
    <w:rsid w:val="00363DBB"/>
    <w:rsid w:val="00417BC8"/>
    <w:rsid w:val="00423446"/>
    <w:rsid w:val="00515512"/>
    <w:rsid w:val="007443C2"/>
    <w:rsid w:val="008863C9"/>
    <w:rsid w:val="00892C14"/>
    <w:rsid w:val="00962B97"/>
    <w:rsid w:val="00B17A4E"/>
    <w:rsid w:val="00B55170"/>
    <w:rsid w:val="00BB3BB3"/>
    <w:rsid w:val="00D113C7"/>
    <w:rsid w:val="00E23750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paragraph" w:styleId="4">
    <w:name w:val="heading 4"/>
    <w:basedOn w:val="a"/>
    <w:link w:val="40"/>
    <w:uiPriority w:val="9"/>
    <w:qFormat/>
    <w:rsid w:val="00892C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892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C14"/>
    <w:rPr>
      <w:b/>
      <w:bCs/>
    </w:rPr>
  </w:style>
  <w:style w:type="paragraph" w:styleId="a5">
    <w:name w:val="Normal (Web)"/>
    <w:basedOn w:val="a"/>
    <w:uiPriority w:val="99"/>
    <w:semiHidden/>
    <w:unhideWhenUsed/>
    <w:rsid w:val="0089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2C14"/>
    <w:rPr>
      <w:i/>
      <w:iCs/>
    </w:rPr>
  </w:style>
  <w:style w:type="character" w:customStyle="1" w:styleId="apple-converted-space">
    <w:name w:val="apple-converted-space"/>
    <w:basedOn w:val="a0"/>
    <w:rsid w:val="00892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2513</Words>
  <Characters>14325</Characters>
  <Application>Microsoft Office Word</Application>
  <DocSecurity>0</DocSecurity>
  <Lines>119</Lines>
  <Paragraphs>33</Paragraphs>
  <ScaleCrop>false</ScaleCrop>
  <Company>MultiDVD Team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2015-03-11T07:39:00Z</dcterms:created>
  <dcterms:modified xsi:type="dcterms:W3CDTF">2015-03-11T07:39:00Z</dcterms:modified>
</cp:coreProperties>
</file>