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6" w:rsidRPr="005E6916" w:rsidRDefault="005E6916" w:rsidP="005E6916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</w:pPr>
      <w:r w:rsidRPr="005E6916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ПРОЕКТНАЯ ДЕКЛАРАЦИЯ ЗАО «Арман Технолоджи»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916" w:rsidRPr="005E6916" w:rsidTr="005E6916">
        <w:trPr>
          <w:tblCellSpacing w:w="0" w:type="dxa"/>
        </w:trPr>
        <w:tc>
          <w:tcPr>
            <w:tcW w:w="5000" w:type="pct"/>
            <w:hideMark/>
          </w:tcPr>
          <w:p w:rsidR="005E6916" w:rsidRPr="005E6916" w:rsidRDefault="005E6916" w:rsidP="005E6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 строительство</w:t>
            </w:r>
            <w:r w:rsidRPr="005E6916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«Общественно-жилого комплекса с объектами хранения легкового автотранспорта и инженерно-техническими объектами в г. Тюмени ул. Фабричная, д. 7»</w:t>
            </w:r>
          </w:p>
          <w:p w:rsidR="005E6916" w:rsidRPr="005E6916" w:rsidRDefault="005E6916" w:rsidP="005E69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lang w:eastAsia="ru-RU"/>
              </w:rPr>
              <w:t>1 этап  - 1, 2, 3-я секции общественно-жилого комплекса и подземной парковкой;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lang w:eastAsia="ru-RU"/>
              </w:rPr>
              <w:t>2 этап- 4, 5-я секции жилого комплекса с помещениями общественного назначения и подземной парковкой.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ИНФОРМАЦИЯ О ЗАСТРОЙЩИКЕ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tbl>
            <w:tblPr>
              <w:tblW w:w="102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  <w:gridCol w:w="3600"/>
              <w:gridCol w:w="6300"/>
            </w:tblGrid>
            <w:tr w:rsidR="005E6916" w:rsidRPr="005E6916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Фирменное наименование организации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Место нахождения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Закрытое акционерное общество «Арман Технолоджи»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625003, Россия, г. Тюмень, ул. Володарского, д. 13.</w:t>
                  </w: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тел./факс 8(3452) 46-79-87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Понедельник-пятница, 9-18 ч.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Государственная регистрация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Свидетельство о государственной регистрации юридического лица серии 77 №008188327 от 29.03.2006г. Межрайонная инспекция ФНС №46 по г. Москве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ОГРН 1067746424899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ИНН 7701651356  КПП 720401001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Учредитель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Акционеры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Общество с ограниченной ответственностью «Парк Нефть»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Алманов Георгий Кузьмич  -  100% голосующих акций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Проекты строительства многоквартирных домов, в которых принимал участие застройщик за последние годы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«Многоэтажный жилой дом со встроенными нежилыми помещениями и подземной парковкой в г. Тюмени ул. Рижская – Севастопольская». Срок ввода в эксплуатацию в соответствии с проектной документацией – октябрь 2010г, фактический срок ввода – декабрь 2010г;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«Жилой комплекс  в г. Тюмени ул. Пржевальского –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Севастопольская – Рижская». Планируемый срок ввода в эксплуатацию – II квартал  2012г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«Общественно-жилой комплекс в квартале улиц Профсоюзной – Советской – Немцова – Елецкой города Тюмени» (I, II очереди строительства) Планируемый срок ввода в эксплуатацию – VI квартал  2013г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Сведения о лицензируемой деятельности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Вид лицензируемой деятельности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Номер и дата выдачи лицензии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Срок лицензии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Орган, выдавший лицензию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Свидетельство о допуске к определенному виду или видам работ, которые оказывают влияние на безопасность объектов строительства от 16.08.2010г №0178.00-2010-7701651356-С-015,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выдано НП «Саморегулируемая организация строителей Тюменской области»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Величина собственных средств;</w:t>
                  </w: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Финансовый результат текущего года: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Убыток</w:t>
                  </w: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Кредиторская задолженность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Дебиторская задолженность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20 102 000 рублей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42 000 рублей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72 777 000 рублей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108 668 000 рублей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Информация, документы и отчетность Застройщика, предоставляемые для ознакомления в соответствии с действующим законодательством, находятся в офисе ЗАО «Арман Технолоджи» по адресу: 625003, г. Тюмень, ул.Володарского, д. 13</w:t>
                  </w:r>
                </w:p>
              </w:tc>
            </w:tr>
          </w:tbl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ИНФОРМАЦИЯ О ПРОЕКТЕ</w:t>
            </w:r>
          </w:p>
          <w:p w:rsidR="005E6916" w:rsidRPr="005E6916" w:rsidRDefault="005E6916" w:rsidP="005E691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1. Цель проекта строительства: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Целью проекта строительства является строительство объекта «Общественно-жилой комплекс с объектами хранения легкового автотранспорта и инженерно-техническими объектами в г. Тюмени, ул. Фабричная, д. 7»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 этап – 1,2,3-я секции общественно-жилого комплекса и подземной парковкой (ГП-1)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- 2 этап – 4,5-я секции общественно-жилого комплекса с помещениями общественного назначения и подземной парковкой (ГП-2).</w:t>
            </w:r>
          </w:p>
          <w:p w:rsidR="005E6916" w:rsidRPr="005E6916" w:rsidRDefault="005E6916" w:rsidP="005E691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2. Сроки строительства: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Начало строительства -  II квартал 2012 г.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Планируемый срок ввода в эксплуатацию –  II квартал 2014г.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Результаты государственной экспертизы: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Получено положительное заключение по проектной документации ГАУ ТО «Управление государственной экспертизы проектной документации» от 10.04.2012г. № 72 – 1 – 4 – 0022 – 12</w:t>
            </w:r>
          </w:p>
          <w:p w:rsidR="005E6916" w:rsidRPr="005E6916" w:rsidRDefault="005E6916" w:rsidP="005E691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3. Разрешение на строительство: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Разрешение на строительство от 26.04.2012г.  № RU 72304000-118-рс,</w:t>
            </w:r>
          </w:p>
          <w:p w:rsidR="005E6916" w:rsidRPr="005E6916" w:rsidRDefault="005E6916" w:rsidP="005E691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4. О праве пользования земельным участком: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 принадлежит ЗАО «Арман Технолоджи» на праве собственности на основании договора купли-продажи земельного участка от 21.07.2011г.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Кадастровый номер земельного участка: 72:23:0218004: 224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Участок свободен от строений, огражден забором</w:t>
            </w:r>
            <w:r w:rsidRPr="005E6916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.</w:t>
            </w:r>
            <w:r w:rsidRPr="005E691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5E6916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lang w:eastAsia="ru-RU"/>
              </w:rPr>
              <w:t>Границы и площадь земельного участка:</w:t>
            </w:r>
            <w:r w:rsidRPr="005E691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Участок   расположен в Центральном  административном округе г. Тюмени на внутриквартальной территории 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в границах улиц Фабричная – Мельничная – Максима Горького.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Площадь предоставленного земельного участка 11075 кв.м.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5E6916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lang w:eastAsia="ru-RU"/>
              </w:rPr>
              <w:t>Элементы благоустройства: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участке строительства предусматривается размещение комплекса 9-этажных жилых домов с благоустройством территории: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 этап строительства – трехсекционный жилой дом ГП-1 (секции 1, 2, 3)  с подземной автостоянкой;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- 2 этап строительства – двухсекционный жилой дом ГП-2 (секции 4,5) со встроенно-пристроенной кафе-кондитерской и подземной автостоянкой.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Подъезды и пешеходные подходы на территорию комплекса предусматриваются с ул. М. Горького.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Отвод поверхностных вод предусмотрен по спланированным участкам территории, лоткам проездов со сбросом в существующую ливневую канализацию.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Благоустройство территории решается устройством проездов, надземных стоянок личного автотранспорта, тротуаров, дорожек, детских игровых и спортивных площадок, площадок для отдыха, оборудованных малыми архитектурными формами, хозяйственных площадок.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Озеленение территории решается устройством газонов и цветников, посадкой деревьев и кустарников.</w:t>
            </w:r>
          </w:p>
          <w:p w:rsidR="005E6916" w:rsidRPr="005E6916" w:rsidRDefault="005E6916" w:rsidP="005E691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5. О месторасположении жилого дома и его описании в соответствии с проектной документацией: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Проектируемые дома завершают периметральный квартальный тип застройки отведенной территории в квартале улиц Фабричная – Мельничная – Максима Горького.  Проектом предусмотрено строительство двух девятиэтажных жилых домов  ГП-1 и ГП-2 с одноэтажными теплыми подземными автостоянками ГП-3 и ГП-4.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Жилой дом по ГП-1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состоит из двух рядовых секций и одной угловой. На первом этаже рядовых секций кроме жилых квартир предусмотрены помещения уборочного инвентаря, в угловой блок-секции кроме жилых квартир – сквозной проход по первому этажу, комната охраны, учрежденческое помещение с отдельным входом.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Связь между этажами осуществляются с помощью лестниц и лифтов, предусмотрены служебные лестницы с выходами в подземную автостоянку и на кровлю.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Подземная автостоянка ГП-3</w:t>
            </w:r>
            <w:r w:rsidRPr="005E6916">
              <w:rPr>
                <w:rFonts w:ascii="Verdana" w:eastAsia="Times New Roman" w:hAnsi="Verdana" w:cs="Times New Roman"/>
                <w:sz w:val="16"/>
                <w:u w:val="single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состоит из двух блоков вместимостью 43 и 33 автомобиля,  расположенных за  габаритами здания и соединенных между собой проходом, расположенным  в подвале жилого дома ГП-1. Предусмотрен один въезд\выезд для подземной автостоянки, три эвакуационных выхода на дворовую площадку. Предусмотрены дополнительные входы (выходы) с 1-го этажа здания через тамбур-шлюзы.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Жилой дом ГП-2</w:t>
            </w:r>
            <w:r w:rsidRPr="005E6916">
              <w:rPr>
                <w:rFonts w:ascii="Verdana" w:eastAsia="Times New Roman" w:hAnsi="Verdana" w:cs="Times New Roman"/>
                <w:sz w:val="16"/>
                <w:u w:val="single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состоит из одной рядовой и одной угловой секции.</w:t>
            </w:r>
            <w:r w:rsidRPr="005E6916">
              <w:rPr>
                <w:rFonts w:ascii="Verdana" w:eastAsia="Times New Roman" w:hAnsi="Verdana" w:cs="Times New Roman"/>
                <w:sz w:val="16"/>
                <w:u w:val="single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первом этаже рядовой секции кроме жилых квартир предусмотрены помещение уборочного инвентаря и комната охраны гаража, в угловой блок-секции – сквозной проход по первому этажу, помещение уборочного инвентаря и встроенно-пристроенное кафе-кондитерская с загрузкой с торца дома и главным входом с угла.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Связь между этажами осуществляются с помощью лестнично – лифтового узла, предусмотрена служебная лестница с выходами в подземную автостоянку и на кровлю.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Подземная автостоянка ГП-4</w:t>
            </w:r>
            <w:r w:rsidRPr="005E6916">
              <w:rPr>
                <w:rFonts w:ascii="Verdana" w:eastAsia="Times New Roman" w:hAnsi="Verdana" w:cs="Times New Roman"/>
                <w:sz w:val="16"/>
                <w:u w:val="single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40 машино-мест с рампой въезда и выезда и отдельно расположенным выходом наружу через лестничную клетку. Связь между жилым домом и подземной автостоянкой осуществляется с помощью лестницы и лифта жилого дома через тамбур-шлюзы.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Дома ГП-1 и ГП-2  имеют каркасно-монолитную железобетонную систему с монолитными железобетонными перекрытиями, колоннами, диафрагмами, лестничными маршами, свайными фундаментами и самонесущими наружными стенами. Пространственная жесткость и устойчивость зданий обеспечивается несущим монолитным каркасом в сочетании с вертикальными диафрагмами жесткости и дисками перекрытий, а также</w:t>
            </w:r>
            <w:r w:rsidRPr="005E6916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наличием лифтовых шахт и лестничных клеток, образующих пространственные ядра жесткости.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Стены – блоки из ячеистого бетоны, облицованные полнотелым керамическим кирпичом.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Перекрытие  и покрытие – плоские монолитные железобетонные плиты толщиной 200мм.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Лестницы – монолитные железобетонные.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Лифты – пассажирские LG Sigma (грузоподъемность 1000 кг скорость 1 м/с) в монолитной железобетонной шахте. Предусмотрены остановки в подземной автостоянке.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Кровля – плоская рулонная с внутренним водостоком и теплым техническим этажом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Двери – деревянные по ГОСТ 6629-88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Окна – деревянные с двухкамерным стеклопакетом по ГОСТ 23166-99. Дополнительная вентиляция помещений осуществляется регулируемыми клапанами, расположенными под оконными проемами.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Витражи – алюминиевые с двухкамерным стеклопакетом и обычным стеклом ГОСТ 25116-82.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Внутренняя отделка квартир  – улучшенная штукатурка стен, затирка, подготовка под чистовую отделку потолков.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Подземные автостоянки ГП-3 и ГП-4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неполный монолитный железобетонный каркас с несущими наружными стенами, колоннами и диском перекрытия. Диск перекрытия шарнирно сопряжен с колоннами и стенами. Фундаменты монолитные железобетонные столбчатые под колонны и ленточные под стены ростверка на свайном основании.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 территорией всей парковки предусмотрена система дренажных трубопроводов.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подземных автостоянках предусмотрена приточно-вытяжная вентиляция, системы пожаротушения и дымоудаления.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Теплоснабжение, водоснабжение и канализация, электроснабжение, телефонизация и телевидение предусмотрено от городских сетей.</w:t>
            </w:r>
          </w:p>
          <w:p w:rsidR="005E6916" w:rsidRPr="005E6916" w:rsidRDefault="005E6916" w:rsidP="005E691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6. О количестве и составе самостоятельных частей в составе строящегося дома, передаваемых участникам строительства после ввода в эксплуатацию: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состав жилого дома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ГП-1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входят следующие жилые помещения: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однокомнатная квартира площадью   46,56,  площадь балкона  5,77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однокомнатная квартира площадью   48,11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  4,80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однокомнатная квартира площадью   50,64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однокомнатная квартира площадью   46,38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   площадь балкона  5,77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однокомнатная квартира площадью   47,91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   площадь балкона  4,80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однокомнатная квартира площадью   45,91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  5,77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однокомнатная квартира  площадью   47,41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  площадь балкона 4,80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  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однокомнатная квартира  площадью   47,43 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 4,80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  5шт.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однокомнатная квартира  площадью   45,84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5,77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однокомнатная квартира площадью   47,35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4,8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  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однокомнатная квартира площадью   50,08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 однокомнатных квартир – 20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70,44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,площадь балкона   8,20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70,15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  8,20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69,46м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 площадь  балкона 8,20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   69,40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 8,20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   76,26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  балкона 8,20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79,26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  балкона 5,77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   76,03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 балкона 8,20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  78,84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  балкона 5,77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75,33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  балкона 8,20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76,26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  балкона 8,20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75,27м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  балкона  8,20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78,38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  балкона  5,77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  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112,80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  балконов 2,8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3,95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112,49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площади  балконов 2,8 и 3,95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111,69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  площадь  балкона  2,8 и 3,95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7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  двухкомнатных квартир – 36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107,54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лоджии  4,55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107,13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лоджии  4,55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106,57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лоджии 4,55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109,20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  площадь лоджии  4,55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108,79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лоджии 4,55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108,23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  площади лоджии 4,55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118,34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 5,00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6,06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117,91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  5,00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6,06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117,35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 5,00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6,06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  трехкомнатных квартир -  24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четырехкомнатная квартира площадью 155,23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7,72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четырехкомнатная квартира площадью 154,89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7,72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четырехкомнатная квартира площадью 154,22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7,72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четырехкомнатная квартира площадью 154,14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7,72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  четырехкомнатных квартир – 9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состав жилого дома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ГП-2</w:t>
            </w:r>
            <w:r w:rsidRPr="005E6916">
              <w:rPr>
                <w:rFonts w:ascii="Verdana" w:eastAsia="Times New Roman" w:hAnsi="Verdana" w:cs="Times New Roman"/>
                <w:sz w:val="16"/>
                <w:u w:val="single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входят следующие жилые помещения: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78,27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и лоджии 4,46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4,40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77,87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и лоджии 4,46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4,40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77,43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  площадь  балкона и лоджии 4,46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4,40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112,73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  3,95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2,80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  112,39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  балконов 3,95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2,80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двухкомнатная квартира площадью   111,62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  балкона 3,95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2,80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  двухкомнатных квартир – 16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113,72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  9,89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5,59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 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101,90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  5,64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5,59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 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113,47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 9,89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5,59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 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102,03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  площадь балконов 5,64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5,59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112,78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 9,89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5,59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  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101,56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  площади балконов 5,64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5,59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- 7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112,63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 9,89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5,59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117,99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  5,00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6,06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трехкомнатная квартира площадью  117,56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 5,00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6,06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  трехкомнатная квартира площадью 117,00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балконов 5,00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6,06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6 шт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  трехкомнатных квартир -  26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четырехкомнатная квартира площадью 154,75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7,72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четырехкомнатная квартира площадью 154,52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7,72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шт.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четырехкомнатная квартира площадью 153,75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7,72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5 шт.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четырехкомнатная квартира площадью 153,68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площадь балкона 7,72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1 шт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  четырехкомнатных квартир – 8 шт.</w:t>
            </w:r>
          </w:p>
          <w:p w:rsidR="005E6916" w:rsidRPr="005E6916" w:rsidRDefault="005E6916" w:rsidP="005E691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7. О наличии нежилых помещений, не входящих в состав общего имущества: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предлагаемом проекте жилого комплекса предусмотрены следующие нежилые помещения, не входящие в состав общего имущества участников долевого строительства, расположенные: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первом этаже дома ГП-1: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учрежденческое в секции № 3 общей площадью – 42,49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;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первом этаже дома ГП-2: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встроенно-пристроенное кафе-кондитерская в секции № 5 общей площадью 416,1 м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E6916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5E6916" w:rsidRPr="005E6916" w:rsidRDefault="005E6916" w:rsidP="005E691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8. О составе общего имущества, которое будет находиться на праве общей долевой собственности: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состав общего имущества входят: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участок, на котором ведется строительство;  инженерные коммуникации; лифтовые шахты с лифтами и машинными отделениями; лестницы с лестничными площадками; комнаты уборочного инвентаря;  венткамеры; электрощитовые;  узлы управления; водомерные узлы; станции пожаротушения; помещения насосных; помещения охраны;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помещения чердака (технический этаж); техподполья.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5E6916" w:rsidRPr="005E6916" w:rsidRDefault="005E6916" w:rsidP="005E691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9. Предполагаемые сроки получения разрешения на ввод в эксплуатацию объектов: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Предполагаемый срок получения разрешения на ввод в эксплуатацию общественно – жилого  комплекса – II квартал 2014г.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Выдачу разрешений на ввод объекта в эксплуатацию осуществляет   Администрация города Тюмени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5E6916" w:rsidRPr="005E6916" w:rsidRDefault="005E6916" w:rsidP="005E691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10. Возможные финансовые и иные риски при осуществлении проекта строительства и мерах добровольного страхования: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прогнозируются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Планируемая стоимость строительства: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753 218 000</w:t>
            </w: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рублей.</w:t>
            </w:r>
          </w:p>
          <w:p w:rsidR="005E6916" w:rsidRPr="005E6916" w:rsidRDefault="005E6916" w:rsidP="005E691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11. Перечень основных организаций, осуществляющих основные строительно-монтажные работы: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Проектировщик: ООО «Горпроект» г.Омск</w:t>
            </w:r>
          </w:p>
          <w:p w:rsidR="005E6916" w:rsidRPr="005E6916" w:rsidRDefault="005E6916" w:rsidP="005E691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12. О способе обеспечения исполнения обязательств застройщика по договору: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Исполнение обязательств Застройщика по договорам участия в долевом строительстве обеспечивается залогом права аренды земельного участка, на котором ведется строительство общественно-жилого комплекса с объектами хранения легкового автотранспорта  и инженерно – техническими объектами в г.Тюмени ул.Фабричная,7  и строящийся</w:t>
            </w:r>
            <w:r w:rsidRPr="005E6916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многоэтажный дом</w:t>
            </w:r>
            <w:r w:rsidRPr="005E6916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,</w:t>
            </w:r>
            <w:r w:rsidRPr="005E6916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момента государственной регистрации договоров участия в долевом строительстве</w:t>
            </w:r>
          </w:p>
          <w:p w:rsidR="005E6916" w:rsidRPr="005E6916" w:rsidRDefault="005E6916" w:rsidP="005E691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13. 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Денежные средства для строительства многоквартирного дома привлекаются на основании договоров участия в долевом строительстве. Иные договоры не заключаются.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Подрядные организации: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23"/>
              <w:gridCol w:w="4616"/>
            </w:tblGrid>
            <w:tr w:rsidR="005E6916" w:rsidRPr="005E6916">
              <w:trPr>
                <w:tblCellSpacing w:w="0" w:type="dxa"/>
              </w:trPr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Наименование подрядчика</w:t>
                  </w:r>
                </w:p>
              </w:tc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Вид работ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ООО «Транспромжилстрой-2005»</w:t>
                  </w:r>
                </w:p>
              </w:tc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строительно-монтажные работы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ООО «Креатив Студио»</w:t>
                  </w:r>
                </w:p>
              </w:tc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монтаж несущих и ограждающих конструкций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ОАО «Тюменьюгэлектромонтаж»</w:t>
                  </w:r>
                </w:p>
              </w:tc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электромонтажные работы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ООО ПКФ «Сантехкомплектмонтаж»</w:t>
                  </w:r>
                </w:p>
              </w:tc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монтаж внутренних сетей водоснабжения и водоотведения, отопления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ЗАО «УралЛесСервис»</w:t>
                  </w:r>
                </w:p>
              </w:tc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установка окон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ООО «Лифт-Модерн»</w:t>
                  </w:r>
                </w:p>
              </w:tc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поставка и монтаж лифтового оборудования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ООО «Тюменьсвязьмонтаж»</w:t>
                  </w:r>
                </w:p>
              </w:tc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поставка и монтаж оборудования слаботочных систем</w:t>
                  </w:r>
                </w:p>
              </w:tc>
            </w:tr>
            <w:tr w:rsidR="005E6916" w:rsidRPr="005E6916">
              <w:trPr>
                <w:tblCellSpacing w:w="0" w:type="dxa"/>
              </w:trPr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ООО «Аргус»</w:t>
                  </w:r>
                </w:p>
              </w:tc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Монтаж слаботочных сетей и установки пожаротушения</w:t>
                  </w:r>
                </w:p>
              </w:tc>
            </w:tr>
          </w:tbl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E6916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Настоящая проектная декларация составлена в соответствии с требованиями Федерального закона от 30 декабря 2004 года N214-ФЗ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68"/>
            </w:tblGrid>
            <w:tr w:rsidR="005E6916" w:rsidRPr="005E6916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01 июня  2012г.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Исполнительный  директор ЗАО «Арман Технолоджи»                                                                                                                                       С.М. Киселёв</w:t>
                  </w:r>
                </w:p>
                <w:p w:rsidR="005E6916" w:rsidRPr="005E6916" w:rsidRDefault="005E6916" w:rsidP="005E69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E691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5E6916" w:rsidRPr="005E6916" w:rsidRDefault="005E6916" w:rsidP="005E69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7443C2" w:rsidRDefault="007443C2"/>
    <w:sectPr w:rsidR="007443C2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3BB"/>
    <w:multiLevelType w:val="multilevel"/>
    <w:tmpl w:val="D222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F690E"/>
    <w:multiLevelType w:val="multilevel"/>
    <w:tmpl w:val="0986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92669"/>
    <w:multiLevelType w:val="multilevel"/>
    <w:tmpl w:val="8710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E5634"/>
    <w:multiLevelType w:val="multilevel"/>
    <w:tmpl w:val="8A8A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D6E9D"/>
    <w:multiLevelType w:val="multilevel"/>
    <w:tmpl w:val="8104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0786A"/>
    <w:multiLevelType w:val="multilevel"/>
    <w:tmpl w:val="9476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24098"/>
    <w:multiLevelType w:val="multilevel"/>
    <w:tmpl w:val="B336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B724E"/>
    <w:multiLevelType w:val="multilevel"/>
    <w:tmpl w:val="D68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E2002"/>
    <w:multiLevelType w:val="multilevel"/>
    <w:tmpl w:val="6B08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A3783"/>
    <w:multiLevelType w:val="multilevel"/>
    <w:tmpl w:val="CB04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B7BE0"/>
    <w:multiLevelType w:val="multilevel"/>
    <w:tmpl w:val="4808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841B5"/>
    <w:multiLevelType w:val="multilevel"/>
    <w:tmpl w:val="0B3A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035B6"/>
    <w:multiLevelType w:val="multilevel"/>
    <w:tmpl w:val="9A68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6916"/>
    <w:rsid w:val="003530E9"/>
    <w:rsid w:val="00363DBB"/>
    <w:rsid w:val="00423446"/>
    <w:rsid w:val="004535C8"/>
    <w:rsid w:val="005E6916"/>
    <w:rsid w:val="007443C2"/>
    <w:rsid w:val="00E2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paragraph" w:styleId="2">
    <w:name w:val="heading 2"/>
    <w:basedOn w:val="a"/>
    <w:link w:val="20"/>
    <w:uiPriority w:val="9"/>
    <w:qFormat/>
    <w:rsid w:val="005E6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916"/>
    <w:rPr>
      <w:b/>
      <w:bCs/>
    </w:rPr>
  </w:style>
  <w:style w:type="character" w:styleId="a5">
    <w:name w:val="Emphasis"/>
    <w:basedOn w:val="a0"/>
    <w:uiPriority w:val="20"/>
    <w:qFormat/>
    <w:rsid w:val="005E6916"/>
    <w:rPr>
      <w:i/>
      <w:iCs/>
    </w:rPr>
  </w:style>
  <w:style w:type="character" w:customStyle="1" w:styleId="apple-converted-space">
    <w:name w:val="apple-converted-space"/>
    <w:basedOn w:val="a0"/>
    <w:rsid w:val="005E6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2629</Words>
  <Characters>14986</Characters>
  <Application>Microsoft Office Word</Application>
  <DocSecurity>0</DocSecurity>
  <Lines>124</Lines>
  <Paragraphs>35</Paragraphs>
  <ScaleCrop>false</ScaleCrop>
  <Company>MultiDVD Team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2012-08-22T07:41:00Z</dcterms:created>
  <dcterms:modified xsi:type="dcterms:W3CDTF">2012-08-22T07:41:00Z</dcterms:modified>
</cp:coreProperties>
</file>